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897D4" w14:textId="53885B50" w:rsidR="00F768D0" w:rsidRPr="00283E81" w:rsidRDefault="00F768D0" w:rsidP="44744DA9">
      <w:pPr>
        <w:pStyle w:val="Standard"/>
        <w:tabs>
          <w:tab w:val="left" w:pos="2131"/>
          <w:tab w:val="center" w:pos="4702"/>
        </w:tabs>
        <w:rPr>
          <w:rFonts w:ascii="Garamond" w:hAnsi="Garamond" w:cs="Arial"/>
          <w:sz w:val="22"/>
          <w:szCs w:val="22"/>
        </w:rPr>
      </w:pPr>
      <w:r w:rsidRPr="00283E81">
        <w:rPr>
          <w:rFonts w:ascii="Garamond" w:hAnsi="Garamond" w:cs="Arial"/>
          <w:b/>
          <w:sz w:val="22"/>
          <w:szCs w:val="22"/>
        </w:rPr>
        <w:tab/>
      </w:r>
    </w:p>
    <w:tbl>
      <w:tblPr>
        <w:tblW w:w="9350" w:type="dxa"/>
        <w:jc w:val="center"/>
        <w:tblLayout w:type="fixed"/>
        <w:tblCellMar>
          <w:left w:w="10" w:type="dxa"/>
          <w:right w:w="10" w:type="dxa"/>
        </w:tblCellMar>
        <w:tblLook w:val="04A0" w:firstRow="1" w:lastRow="0" w:firstColumn="1" w:lastColumn="0" w:noHBand="0" w:noVBand="1"/>
      </w:tblPr>
      <w:tblGrid>
        <w:gridCol w:w="9350"/>
      </w:tblGrid>
      <w:tr w:rsidR="00F768D0" w:rsidRPr="00283E81" w14:paraId="3DCC11B6" w14:textId="77777777" w:rsidTr="002F4178">
        <w:trPr>
          <w:jc w:val="center"/>
        </w:trPr>
        <w:tc>
          <w:tcPr>
            <w:tcW w:w="9350" w:type="dxa"/>
            <w:tcBorders>
              <w:top w:val="single" w:sz="4" w:space="0" w:color="000000"/>
              <w:left w:val="single" w:sz="4" w:space="0" w:color="000000"/>
              <w:bottom w:val="single" w:sz="4" w:space="0" w:color="000000"/>
              <w:right w:val="single" w:sz="4" w:space="0" w:color="000000"/>
            </w:tcBorders>
            <w:shd w:val="clear" w:color="auto" w:fill="E0E0E0"/>
            <w:tcMar>
              <w:top w:w="0" w:type="dxa"/>
              <w:left w:w="108" w:type="dxa"/>
              <w:bottom w:w="0" w:type="dxa"/>
              <w:right w:w="108" w:type="dxa"/>
            </w:tcMar>
          </w:tcPr>
          <w:p w14:paraId="0D959043" w14:textId="77777777" w:rsidR="00F768D0" w:rsidRPr="00283E81" w:rsidRDefault="00F768D0" w:rsidP="002F4178">
            <w:pPr>
              <w:pStyle w:val="Standard"/>
              <w:jc w:val="both"/>
              <w:rPr>
                <w:rFonts w:ascii="Garamond" w:hAnsi="Garamond" w:cs="Arial"/>
                <w:b/>
                <w:sz w:val="22"/>
                <w:szCs w:val="22"/>
              </w:rPr>
            </w:pPr>
            <w:bookmarkStart w:id="0" w:name="_Hlk79056194"/>
            <w:r w:rsidRPr="00283E81">
              <w:rPr>
                <w:rFonts w:ascii="Garamond" w:hAnsi="Garamond" w:cs="Arial"/>
                <w:b/>
                <w:sz w:val="22"/>
                <w:szCs w:val="22"/>
              </w:rPr>
              <w:t>1. DESCRIPCIÓN DE LA NECESIDAD</w:t>
            </w:r>
          </w:p>
        </w:tc>
      </w:tr>
      <w:bookmarkEnd w:id="0"/>
    </w:tbl>
    <w:p w14:paraId="58D055DF" w14:textId="77777777" w:rsidR="00F768D0" w:rsidRPr="00283E81" w:rsidRDefault="00F768D0" w:rsidP="00F768D0">
      <w:pPr>
        <w:pStyle w:val="Standard"/>
        <w:jc w:val="both"/>
        <w:rPr>
          <w:rFonts w:ascii="Garamond" w:hAnsi="Garamond" w:cs="Arial"/>
          <w:b/>
          <w:sz w:val="22"/>
          <w:szCs w:val="22"/>
        </w:rPr>
      </w:pPr>
    </w:p>
    <w:p w14:paraId="67AEADEE" w14:textId="77777777" w:rsidR="00FD3A4F" w:rsidRPr="00283E81" w:rsidRDefault="00FD3A4F" w:rsidP="00FD3A4F">
      <w:pPr>
        <w:tabs>
          <w:tab w:val="left" w:pos="795"/>
        </w:tabs>
        <w:jc w:val="both"/>
        <w:rPr>
          <w:rFonts w:ascii="Garamond" w:hAnsi="Garamond" w:cs="Arial"/>
          <w:b/>
          <w:iCs/>
          <w:sz w:val="22"/>
          <w:szCs w:val="22"/>
        </w:rPr>
      </w:pPr>
      <w:bookmarkStart w:id="1" w:name="_Hlk79056338"/>
      <w:r w:rsidRPr="00283E81">
        <w:rPr>
          <w:rFonts w:ascii="Garamond" w:hAnsi="Garamond" w:cs="Arial"/>
          <w:b/>
          <w:iCs/>
          <w:sz w:val="22"/>
          <w:szCs w:val="22"/>
        </w:rPr>
        <w:t>1.1. ANTECEDENTES Y NECESIDAD</w:t>
      </w:r>
    </w:p>
    <w:p w14:paraId="33536970" w14:textId="77777777" w:rsidR="00FD3A4F" w:rsidRPr="00283E81" w:rsidRDefault="00FD3A4F" w:rsidP="00FD3A4F">
      <w:pPr>
        <w:tabs>
          <w:tab w:val="left" w:pos="795"/>
        </w:tabs>
        <w:jc w:val="both"/>
        <w:rPr>
          <w:rFonts w:ascii="Garamond" w:hAnsi="Garamond" w:cs="Arial"/>
          <w:b/>
          <w:iCs/>
          <w:color w:val="FF0000"/>
          <w:sz w:val="22"/>
          <w:szCs w:val="22"/>
        </w:rPr>
      </w:pPr>
    </w:p>
    <w:p w14:paraId="2200CFB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conformidad con el Artículo 15 del Acuerdo Distrital 637 de 2016 el cual modifica el artículo 52 del Acuerdo Distrital 257 de 2006, que a su tenor literal nos indica </w:t>
      </w:r>
      <w:r w:rsidRPr="00283E81">
        <w:rPr>
          <w:rFonts w:ascii="Garamond" w:hAnsi="Garamond"/>
          <w:i/>
          <w:color w:val="000000"/>
          <w:sz w:val="22"/>
          <w:szCs w:val="22"/>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142CA99F"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073F6F5"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i/>
          <w:color w:val="000000"/>
          <w:sz w:val="22"/>
          <w:szCs w:val="22"/>
        </w:rPr>
        <w:t>Es así que la Alcaldía Local tiene como misión “ser una dependencia de la Secretaría Distrital de Gobierno responsable de apoyar la ejecución de las competencias asignadas a los Alcaldes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w:t>
      </w:r>
    </w:p>
    <w:p w14:paraId="4BD5BF5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21A3822" w14:textId="77777777" w:rsidR="00FD3A4F" w:rsidRPr="00283E81" w:rsidRDefault="00FD3A4F" w:rsidP="00FD3A4F">
      <w:pPr>
        <w:pBdr>
          <w:top w:val="nil"/>
          <w:left w:val="nil"/>
          <w:bottom w:val="nil"/>
          <w:right w:val="nil"/>
          <w:between w:val="nil"/>
        </w:pBdr>
        <w:jc w:val="both"/>
        <w:rPr>
          <w:rFonts w:ascii="Garamond" w:hAnsi="Garamond"/>
          <w:i/>
          <w:color w:val="000000"/>
          <w:sz w:val="22"/>
          <w:szCs w:val="22"/>
        </w:rPr>
      </w:pPr>
      <w:r w:rsidRPr="00283E81">
        <w:rPr>
          <w:rFonts w:ascii="Garamond" w:hAnsi="Garamond"/>
          <w:color w:val="000000"/>
          <w:sz w:val="22"/>
          <w:szCs w:val="22"/>
        </w:rPr>
        <w:t xml:space="preserve">El Acuerdo Distrital 740 de 2019 en su capítulo II establece la naturaleza, patrimonio y funcionamiento de los FONDO DE DESARROLLO LOCAL y el artículo 11 del Acuerdo Distrital 740 de 2019 determinó que el alcalde Mayor de Bogotá D.C., es el representante legal y ordenador del gasto de dichos FONDOS DE DESARROLLO, y así mismo contempla la facultad de delegar total o parcialmente estas funciones. Fue así como en ejercicio de dicha facultad, se expidió el Decreto Distrital 768 de 2019, reglamentando lo pertinente y así mismo, en el artículo 3, 4, 5 y 6 se establece la delegación en los señores Alcaldes Locales, la ordenación de los gastos de los recursos asignados dentro del presupuesto a los FONDO DE DESARROLLO LOCAL, resaltando que el artículo 4 reglamenta el funcionamiento, el cual es modificado por el artículo 1 del Decreto 168 de 2021, señalando lo siguiente: </w:t>
      </w:r>
      <w:r w:rsidRPr="00283E81">
        <w:rPr>
          <w:rFonts w:ascii="Garamond" w:hAnsi="Garamond"/>
          <w:i/>
          <w:color w:val="000000"/>
          <w:sz w:val="22"/>
          <w:szCs w:val="22"/>
        </w:rPr>
        <w:t>"Articulo 4. Funcionamiento.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 Fondo. Parágrafo. El/la alcalde/</w:t>
      </w:r>
      <w:proofErr w:type="spellStart"/>
      <w:r w:rsidRPr="00283E81">
        <w:rPr>
          <w:rFonts w:ascii="Garamond" w:hAnsi="Garamond"/>
          <w:i/>
          <w:color w:val="000000"/>
          <w:sz w:val="22"/>
          <w:szCs w:val="22"/>
        </w:rPr>
        <w:t>sa</w:t>
      </w:r>
      <w:proofErr w:type="spellEnd"/>
      <w:r w:rsidRPr="00283E81">
        <w:rPr>
          <w:rFonts w:ascii="Garamond" w:hAnsi="Garamond"/>
          <w:i/>
          <w:color w:val="000000"/>
          <w:sz w:val="22"/>
          <w:szCs w:val="22"/>
        </w:rPr>
        <w:t xml:space="preserve"> local será responsable de dar aplicación a los lineamientos establecidos por las secretarias cabezas de sector y por las entidades distritales competentes en la materia, para la formulación, ejecución y seguimiento a los proyectos de inversión."</w:t>
      </w:r>
    </w:p>
    <w:p w14:paraId="22E84DC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4FD0544"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Por su parte, el artículo 3 del Acuerdo Distrital 740 de 2019 – “POR EL CUAL SE DICTAN NORMAS EN RELACIÓN CON LA ORGANIZACIÓN Y EL FUNCIONAMIENTO DE LAS LOCALIDADES DE BOGOTÁ, D.C.” -, señala que el reparto de competencias y funciones administrativas se hará entre las autoridades distritales y locales, teniendo en cuenta los principios de concurrencia, subsidiariedad y complementariedad. Así es que el artículo 5, entre las competencias de los alcaldes Locales, establece en Parágrafo 1. Las competencias se ejercerán de acuerdo con las funciones y atribuciones asignadas por la Administración Distrital y las líneas de inversión para localidades definidas en el Consejo Distrital de Política Económica y Fiscal -CONFIS, enmarcadas según lo dispuesto en este Acuerdo, funciones que fueron delegadas mediante el artículo 1 del Decreto 374 de 2019 que establece</w:t>
      </w:r>
      <w:r w:rsidRPr="00283E81">
        <w:rPr>
          <w:rFonts w:ascii="Garamond" w:hAnsi="Garamond"/>
          <w:i/>
          <w:color w:val="000000"/>
          <w:sz w:val="22"/>
          <w:szCs w:val="22"/>
        </w:rPr>
        <w:t xml:space="preserve">: “Artículo 1.- Delegar en los alcaldes locales la facultad </w:t>
      </w:r>
      <w:r w:rsidRPr="00283E81">
        <w:rPr>
          <w:rFonts w:ascii="Garamond" w:hAnsi="Garamond"/>
          <w:i/>
          <w:color w:val="000000"/>
          <w:sz w:val="22"/>
          <w:szCs w:val="22"/>
        </w:rPr>
        <w:lastRenderedPageBreak/>
        <w:t xml:space="preserve">para contratar, ordenar los gastos y pagos con cargo al presupuesto de los Fondos de Desarrollo Local, de conformidad con las disposiciones que regulan las inversiones y gastos con cargo a tales Fondos”. </w:t>
      </w:r>
      <w:r w:rsidRPr="00283E81">
        <w:rPr>
          <w:rFonts w:ascii="Garamond" w:hAnsi="Garamond"/>
          <w:color w:val="000000"/>
          <w:sz w:val="22"/>
          <w:szCs w:val="22"/>
        </w:rPr>
        <w:t>Que, de igual manera, el artículo 11 de la ley 2116 de 2021, modifica El artículo </w:t>
      </w:r>
      <w:hyperlink r:id="rId10" w:anchor="86">
        <w:r w:rsidRPr="00283E81">
          <w:rPr>
            <w:rFonts w:ascii="Garamond" w:hAnsi="Garamond"/>
            <w:color w:val="000000"/>
            <w:sz w:val="22"/>
            <w:szCs w:val="22"/>
          </w:rPr>
          <w:t>86</w:t>
        </w:r>
      </w:hyperlink>
      <w:r w:rsidRPr="00283E81">
        <w:rPr>
          <w:rFonts w:ascii="Garamond" w:hAnsi="Garamond"/>
          <w:color w:val="000000"/>
          <w:sz w:val="22"/>
          <w:szCs w:val="22"/>
        </w:rPr>
        <w:t> del Decreto-ley número 1421 de 1993, el cual en su numeral 5 establece: “5. Cumplir las funciones que les fijen y deleguen el Concejo de Bogotá, el Alcalde Mayor, las Juntas Administradoras y otras autoridades distritales”.</w:t>
      </w:r>
    </w:p>
    <w:p w14:paraId="39BFD51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b/>
      </w:r>
    </w:p>
    <w:p w14:paraId="0F5F004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Conforme a lo anterior, teniendo en cuenta las competencias La Alcaldía Local es la responsable de formular, ejecutar y hacer seguimiento a los proyectos de inversión en el marco del Plan de Desarrollo Local con cargo a los recursos del respectivo Fondo de Desarrollo, por lo que, los Planes de Desarrollo Local, tienen como fundamento los planes y políticas distritales; y es así, como de manera específica, se constituye el Plan de Desarrollo 2025-2028 de la Localidad de Fontibón, “Fontibón camina segura”, vigente y adoptado mediante el Acuerdo Local No. 049 de 16 de septiembre de 2024.</w:t>
      </w:r>
    </w:p>
    <w:p w14:paraId="4A9AF96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65F2BE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Las líneas de inversión local deben ser acordes a la estructura del Plan de Desarrollo 2025 - 2028 de la Localidad Fontibón, sobre las cuales la Administración Local podrá efectuar su inversión de manera coordinada con el nivel central. Por ello, en materia de competencias, políticas y estrategias de intervención locales, El Plan de Desarrollo “Fontibón camina segura” se formula teniendo como horizonte los cinco grandes propósitos planeados por el Gobierno Distrital y que sin duda forjarán grandes trasformaciones en la vida de los bogotanos. </w:t>
      </w:r>
    </w:p>
    <w:p w14:paraId="7C231E7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A53CEB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En la presente anualidad, por parte de la Alcaldía Local - FONDO DE DESARROLLO LOCAL DE FONTIBÓN y en el marco del el Plan Operativo Anual de Inversiones -POAI-, se previeron los recursos destinados a cumplir los compromisos en materia de fortalecimiento de sedes administrativas  dentro del Proyecto </w:t>
      </w:r>
      <w:r w:rsidRPr="00283E81">
        <w:rPr>
          <w:rFonts w:ascii="Garamond" w:hAnsi="Garamond"/>
          <w:b/>
          <w:bCs/>
          <w:color w:val="000000" w:themeColor="text1"/>
          <w:sz w:val="22"/>
          <w:szCs w:val="22"/>
        </w:rPr>
        <w:t>2412</w:t>
      </w:r>
      <w:r w:rsidRPr="00283E81">
        <w:rPr>
          <w:rFonts w:ascii="Garamond" w:hAnsi="Garamond"/>
          <w:color w:val="000000" w:themeColor="text1"/>
          <w:sz w:val="22"/>
          <w:szCs w:val="22"/>
        </w:rPr>
        <w:t xml:space="preserve"> denominado “Fontibón camina hacia el fortalecimiento institucional” que además tiene asociada la meta “Intervenir y/o dotar 3 sedes administrativas locales y de la Junta Administradora Local.” como parte del programa “BOGOTÁ CONFÍA EN SU GOBIERNO” concepto de gasto “Infraestructura local”</w:t>
      </w:r>
    </w:p>
    <w:p w14:paraId="2C2EDB8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CA8FD6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Este programa tiene como objetivo mejorar la infraestructura de las sedes administrativas promoviendo la adecuación de espacios accesibles e inclusivos para todos los ciudadanos. Esto no solo tiene el propósito de embellecer las instalaciones, sino también de fomentar un desarrollo comunitario integral que promueva la inclusión social y mejore la calidad de vida de los residentes. Estas iniciativas contribuyen significativamente a los objetivos del Plan de Desarrollo Distrital de Bogotá, trabajando en conjunto para construir una ciudad más equitativa, sostenible y preparada para los desafíos futuros.</w:t>
      </w:r>
    </w:p>
    <w:p w14:paraId="1A0EEC3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9895EA9" w14:textId="39F1057A" w:rsidR="00FD3A4F" w:rsidRPr="00283E81" w:rsidRDefault="00FD3A4F" w:rsidP="44744DA9">
      <w:pPr>
        <w:pBdr>
          <w:top w:val="nil"/>
          <w:left w:val="nil"/>
          <w:bottom w:val="nil"/>
          <w:right w:val="nil"/>
          <w:between w:val="nil"/>
        </w:pBdr>
        <w:jc w:val="both"/>
        <w:rPr>
          <w:rFonts w:ascii="Garamond" w:hAnsi="Garamond"/>
          <w:color w:val="000000"/>
          <w:sz w:val="22"/>
          <w:szCs w:val="22"/>
          <w:highlight w:val="yellow"/>
        </w:rPr>
      </w:pPr>
      <w:r w:rsidRPr="00283E81">
        <w:rPr>
          <w:rFonts w:ascii="Garamond" w:hAnsi="Garamond"/>
          <w:color w:val="000000" w:themeColor="text1"/>
          <w:sz w:val="22"/>
          <w:szCs w:val="22"/>
        </w:rPr>
        <w:t xml:space="preserve">Por esta razón, con el propósito de fortalecer la gestión y el debido cumplimiento de las actividades adelantadas, el Fondo de Desarrollo Local Fontibón, acorde con la ejecución del plan de gobierno de la administración local, requiere para el buen funcionamiento de sus sedes administrativas y para el cuidado de sus bienes muebles </w:t>
      </w:r>
      <w:r w:rsidR="0C8893F7" w:rsidRPr="00283E81">
        <w:rPr>
          <w:rFonts w:ascii="Garamond" w:hAnsi="Garamond"/>
          <w:color w:val="000000" w:themeColor="text1"/>
          <w:sz w:val="22"/>
          <w:szCs w:val="22"/>
        </w:rPr>
        <w:t xml:space="preserve">desea realizar arreglos locativos en la Junta Administradora Local de Fontibón y </w:t>
      </w:r>
      <w:r w:rsidRPr="00283E81">
        <w:rPr>
          <w:rFonts w:ascii="Garamond" w:hAnsi="Garamond"/>
          <w:color w:val="000000" w:themeColor="text1"/>
          <w:sz w:val="22"/>
          <w:szCs w:val="22"/>
        </w:rPr>
        <w:t>en la sede de</w:t>
      </w:r>
      <w:r w:rsidRPr="00283E81">
        <w:rPr>
          <w:rFonts w:ascii="Garamond" w:hAnsi="Garamond"/>
          <w:sz w:val="22"/>
          <w:szCs w:val="22"/>
        </w:rPr>
        <w:t xml:space="preserve"> la Alcaldía local de Fontibón</w:t>
      </w:r>
      <w:r w:rsidRPr="00283E81">
        <w:rPr>
          <w:rFonts w:ascii="Garamond" w:hAnsi="Garamond"/>
          <w:color w:val="000000" w:themeColor="text1"/>
          <w:sz w:val="22"/>
          <w:szCs w:val="22"/>
        </w:rPr>
        <w:t xml:space="preserve">, ubicada en la </w:t>
      </w:r>
      <w:proofErr w:type="spellStart"/>
      <w:r w:rsidRPr="00283E81">
        <w:rPr>
          <w:rFonts w:ascii="Garamond" w:hAnsi="Garamond"/>
          <w:color w:val="000000" w:themeColor="text1"/>
          <w:sz w:val="22"/>
          <w:szCs w:val="22"/>
        </w:rPr>
        <w:t>Cra</w:t>
      </w:r>
      <w:proofErr w:type="spellEnd"/>
      <w:r w:rsidRPr="00283E81">
        <w:rPr>
          <w:rFonts w:ascii="Garamond" w:hAnsi="Garamond"/>
          <w:color w:val="000000" w:themeColor="text1"/>
          <w:sz w:val="22"/>
          <w:szCs w:val="22"/>
        </w:rPr>
        <w:t xml:space="preserve"> 99 No 19 – 43. </w:t>
      </w:r>
    </w:p>
    <w:p w14:paraId="3601615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DFF5E2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Adicionalmente, dentro de esta misma meta, se busca hacerle mantenimiento a la Alcaldía Local de Fontibón, la cual es un pilar fundamental en la atención y gestión de las necesidades de nuestra comunidad, la cual requiere una intervención integral para subsanar el notorio deterioro en diversas áreas de sus instalaciones. Actualmente, </w:t>
      </w:r>
      <w:r w:rsidRPr="00283E81">
        <w:rPr>
          <w:rFonts w:ascii="Garamond" w:hAnsi="Garamond"/>
          <w:color w:val="000000"/>
          <w:sz w:val="22"/>
          <w:szCs w:val="22"/>
        </w:rPr>
        <w:lastRenderedPageBreak/>
        <w:t>se observan espacios con enchapes deteriorados, humedades evidentes en techos y muros, y fachadas que demandan un mantenimiento urgente para recuperar su estética y funcionalidad. Esta edificación, que consta de tres pisos de oficinas (cada una con su respectivo baño), una amplia terraza y un sótano, es el epicentro de la actividad administrativa local y, por ende, es imperativo garantizar un entorno digno y eficiente tanto para los servidores públicos como para los ciudadanos que a diario acuden en busca de servicios.</w:t>
      </w:r>
    </w:p>
    <w:p w14:paraId="78CBF66D"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3B9A1F8" w14:textId="4A3706AD"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 intervención propuesta para la Alcaldía Local de Fontibón abarca una serie de acciones correctivas y de mejora. Se realizará mantenimiento de los enchapes en pisos y paredes, mantenimiento a la Junta Administradora Local, se abordará la problemática de las humedades mediante tratamientos especializados en techos y muros, y se abordará un mantenimiento de las fachadas para mejorar su presentación y proteger la estructura. Asimismo, se busca mantener los baños en cada uno de los tres pisos, garantizando estándares de higiene y confort.</w:t>
      </w:r>
    </w:p>
    <w:p w14:paraId="4387700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DE07FB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Para el desarrollo de las distintas metas y de sus objetivos, la Alcaldía Local a través del Fondo de Desarrollo Local debe adelantar los procesos de contratación, lo cuáles deben estar sustentados en los proyectos formulados desde la oficina de planeación, con los soportes respectivos.</w:t>
      </w:r>
    </w:p>
    <w:p w14:paraId="6890C03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42BAA7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consideración a lo anterior, y a fin de satisfacer las necesidades de la Administración Local anteriormente mencionadas, se hace necesario contratar el mantenimiento de la entidad, por lo cual se requiere previamente el diagnostico técnico integral de la sede de la alcaldía local dentro del cual se destaca las instalaciones eléctricas, Hidráulicas, Sanitarias, red contra incendio, redes de voz y datos, Cubierta, fachada y a su vez el levantamiento de oficinas y de puestos de trabajo junto al mobiliario, ajustados a la norma, proyectar diseños y recomendaciones que requiera ajustando los presupuestos y programación la posterior ejecución de obra necesaria. Para esto, se hace necesario contratar una persona Natural o Jurídica para que realice el diagnóstico y las intervenciones y mantenimientos necesarios para su buen funcionamiento de la entidad, y a su vez dentro de la intervención realizar las adecuaciones.</w:t>
      </w:r>
    </w:p>
    <w:p w14:paraId="6A36996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BA8C569" w14:textId="672C3C7F" w:rsidR="00FD3A4F" w:rsidRPr="00283E81" w:rsidRDefault="00FD3A4F"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Por otro </w:t>
      </w:r>
      <w:r w:rsidR="678E4DA0" w:rsidRPr="00283E81">
        <w:rPr>
          <w:rFonts w:ascii="Garamond" w:hAnsi="Garamond"/>
          <w:color w:val="000000" w:themeColor="text1"/>
          <w:sz w:val="22"/>
          <w:szCs w:val="22"/>
        </w:rPr>
        <w:t>lado,</w:t>
      </w:r>
      <w:r w:rsidRPr="00283E81">
        <w:rPr>
          <w:rFonts w:ascii="Garamond" w:hAnsi="Garamond"/>
          <w:color w:val="000000" w:themeColor="text1"/>
          <w:sz w:val="22"/>
          <w:szCs w:val="22"/>
        </w:rPr>
        <w:t xml:space="preserve"> y de acuerdo con las indicaciones de Secretaría de Gobierno en referencia al PUNTO DE ATENCIÓN DISTRITAL donde debe prestar la atención por parte del responsable del grupo de Servicio y Atención a la Ciudadanía, este debe contar con los espacios y áreas adecuadas para atender a los ciudadanos y su accesibilidad a los mismos donde se identifique y cumpla con los siguientes criterios que además son sujeto de evaluación:</w:t>
      </w:r>
    </w:p>
    <w:p w14:paraId="24AA2CAE"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 xml:space="preserve">Contar con señalización táctil / </w:t>
      </w:r>
      <w:proofErr w:type="spellStart"/>
      <w:r w:rsidRPr="00283E81">
        <w:rPr>
          <w:rFonts w:ascii="Garamond" w:hAnsi="Garamond"/>
          <w:color w:val="000000" w:themeColor="text1"/>
          <w:sz w:val="22"/>
          <w:szCs w:val="22"/>
        </w:rPr>
        <w:t>podotactil</w:t>
      </w:r>
      <w:proofErr w:type="spellEnd"/>
      <w:r w:rsidRPr="00283E81">
        <w:rPr>
          <w:rFonts w:ascii="Garamond" w:hAnsi="Garamond"/>
          <w:color w:val="000000" w:themeColor="text1"/>
          <w:sz w:val="22"/>
          <w:szCs w:val="22"/>
        </w:rPr>
        <w:t xml:space="preserve"> de alerta y guías.</w:t>
      </w:r>
    </w:p>
    <w:p w14:paraId="2F80D964"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Señalización de tipo de acceso en piso.</w:t>
      </w:r>
    </w:p>
    <w:p w14:paraId="7D20A46C"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Garantizar el acceso de persona con discapacidad y los espacios de atención.</w:t>
      </w:r>
    </w:p>
    <w:p w14:paraId="6850ADEE"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Identificación de puertas de ingreso y/o salida.</w:t>
      </w:r>
    </w:p>
    <w:p w14:paraId="7A2D7679"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Señalización externa y exhibido horario de atención</w:t>
      </w:r>
    </w:p>
    <w:p w14:paraId="3D26F931"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Cumplir con los protocolos de atención</w:t>
      </w:r>
    </w:p>
    <w:p w14:paraId="1B32A2BF"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Los espacios de atención a la ciudadanía deben cumplir con los requisitos para la atención de personas usuarias en sillas de ruedas y personas de talla baja, y donde una persona de silla de ruedas pueda aproximarse y usar una ayuda técnica, mobiliario o equipamiento. </w:t>
      </w:r>
    </w:p>
    <w:p w14:paraId="009A39FB"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lastRenderedPageBreak/>
        <w:t>El punto de atención debe contar con la señalización adecuada y visible que oriente e informe sobre las áreas de atención, servicios dirigidos a la ciudadanía, módulos de orientación, servicios de higiene y sanitarios y medidas de seguridad.</w:t>
      </w:r>
    </w:p>
    <w:p w14:paraId="37AEF553"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 requiere que existan baños con accesibilidad Universal necesaria para todo tipo de población, con barras, espacios libres, y los demás que exijan la norma.</w:t>
      </w:r>
    </w:p>
    <w:p w14:paraId="4E065243"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Cumplir con la NTC 6047 respecto de los planos o mapas de señalización de ubicación que indiquen claramente la posición de la persona en la edificación o instalación, y que no incluyan información superflua.</w:t>
      </w:r>
    </w:p>
    <w:p w14:paraId="638EA2DD"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Cumplir con las demás que se exijan en la norma y las requeridas en informe de Secretaría de Gobierno sobre Accesibilidad.</w:t>
      </w:r>
    </w:p>
    <w:p w14:paraId="720ADFE9" w14:textId="77777777" w:rsidR="00FD3A4F" w:rsidRPr="00283E81" w:rsidRDefault="00FD3A4F" w:rsidP="00FD3A4F">
      <w:pPr>
        <w:pBdr>
          <w:top w:val="nil"/>
          <w:left w:val="nil"/>
          <w:bottom w:val="nil"/>
          <w:right w:val="nil"/>
          <w:between w:val="nil"/>
        </w:pBdr>
        <w:ind w:left="978"/>
        <w:jc w:val="both"/>
        <w:rPr>
          <w:rFonts w:ascii="Garamond" w:hAnsi="Garamond"/>
          <w:color w:val="000000"/>
          <w:sz w:val="22"/>
          <w:szCs w:val="22"/>
        </w:rPr>
      </w:pPr>
    </w:p>
    <w:p w14:paraId="263CCF8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Dentro de los componentes de este proceso, las actividades que pretenden desarrollarse a través de esta contratación son:</w:t>
      </w:r>
    </w:p>
    <w:p w14:paraId="05F1440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7D2171D" w14:textId="75FA342A" w:rsidR="00080A8C" w:rsidRPr="00283E81" w:rsidRDefault="00080A8C"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Mantenimiento de la Junta Administradora Local de Fontibón </w:t>
      </w:r>
      <w:r w:rsidR="00060EFB" w:rsidRPr="00283E81">
        <w:rPr>
          <w:rFonts w:ascii="Garamond" w:hAnsi="Garamond"/>
          <w:color w:val="000000"/>
          <w:sz w:val="22"/>
          <w:szCs w:val="22"/>
        </w:rPr>
        <w:t>–</w:t>
      </w:r>
      <w:r w:rsidRPr="00283E81">
        <w:rPr>
          <w:rFonts w:ascii="Garamond" w:hAnsi="Garamond"/>
          <w:color w:val="000000"/>
          <w:sz w:val="22"/>
          <w:szCs w:val="22"/>
        </w:rPr>
        <w:t xml:space="preserve"> JAL</w:t>
      </w:r>
    </w:p>
    <w:p w14:paraId="1AB0360E"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Retiro de alfombra en la Junta Administradora Local de Fontibón</w:t>
      </w:r>
    </w:p>
    <w:p w14:paraId="7516883B"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Instalación de nuevo piso en la Junta Administradora Local de Fontibón.</w:t>
      </w:r>
    </w:p>
    <w:p w14:paraId="7C7534C5"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preventivo y arreglos locativos en la JAL.</w:t>
      </w:r>
    </w:p>
    <w:p w14:paraId="377654CA"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Enchape de pisos y muros en oficinas y pasillos.</w:t>
      </w:r>
    </w:p>
    <w:p w14:paraId="73DE180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en baños y cocina.</w:t>
      </w:r>
    </w:p>
    <w:p w14:paraId="2A4CE591"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redes (hidrosanitaria, eléctrica, voz y datos, red contra incendio).</w:t>
      </w:r>
    </w:p>
    <w:p w14:paraId="630FAC7D"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Limpieza de redes de baterías sanitarias (orinales).</w:t>
      </w:r>
    </w:p>
    <w:p w14:paraId="6B5915D1"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 xml:space="preserve">Mantenimiento de cielo raso en </w:t>
      </w:r>
      <w:proofErr w:type="spellStart"/>
      <w:r w:rsidRPr="00283E81">
        <w:rPr>
          <w:rFonts w:ascii="Garamond" w:hAnsi="Garamond"/>
          <w:sz w:val="22"/>
          <w:szCs w:val="22"/>
        </w:rPr>
        <w:t>drywall</w:t>
      </w:r>
      <w:proofErr w:type="spellEnd"/>
    </w:p>
    <w:p w14:paraId="53A6EE0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cubiertas e impermeabilizaciones.</w:t>
      </w:r>
    </w:p>
    <w:p w14:paraId="46069387"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Pañete en muros interiores y culatas.</w:t>
      </w:r>
    </w:p>
    <w:p w14:paraId="05568E1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Atención a filtraciones de agua en muros y techos.</w:t>
      </w:r>
    </w:p>
    <w:p w14:paraId="40BEF038" w14:textId="1DE3511D"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ascensor</w:t>
      </w:r>
    </w:p>
    <w:p w14:paraId="09DC5A81"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Desarrollar las actividades desde el marco del plan institucional de gestión ambiental – PIGA y los criterios de contratación sostenible.</w:t>
      </w:r>
    </w:p>
    <w:p w14:paraId="6588B3D1"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Contratar una Diagnóstico de redes hidrosanitarias, eléctricas e infraestructura de la sede de la alcaldía local, actualización de planos.</w:t>
      </w:r>
    </w:p>
    <w:p w14:paraId="48675887"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correctivo y preventivo de motobombas</w:t>
      </w:r>
    </w:p>
    <w:p w14:paraId="3FBC19B2"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Adecuación del acceso a las instalaciones de la Alcaldía </w:t>
      </w:r>
      <w:r w:rsidRPr="00283E81">
        <w:rPr>
          <w:rFonts w:ascii="Garamond" w:hAnsi="Garamond"/>
          <w:sz w:val="22"/>
          <w:szCs w:val="22"/>
        </w:rPr>
        <w:t xml:space="preserve">local de Fontibón y </w:t>
      </w:r>
      <w:r w:rsidRPr="00283E81">
        <w:rPr>
          <w:rFonts w:ascii="Garamond" w:hAnsi="Garamond"/>
          <w:color w:val="000000"/>
          <w:sz w:val="22"/>
          <w:szCs w:val="22"/>
        </w:rPr>
        <w:t>otras oficinas e instalaciones como baños, cafeterías, pasillos.</w:t>
      </w:r>
    </w:p>
    <w:p w14:paraId="2E3295A9"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lastRenderedPageBreak/>
        <w:t>Adecuación de la Oficina de Atención al Ciudadano, conforme los criterios establecidos por la secretaría General de la Alcaldía Mayor.</w:t>
      </w:r>
    </w:p>
    <w:p w14:paraId="65A43F9F"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Intervenciones en las redes hidráulicas y eléctricas.</w:t>
      </w:r>
    </w:p>
    <w:p w14:paraId="69299EAF" w14:textId="224B8715"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Adecuaciones físicas del auditorio</w:t>
      </w:r>
      <w:r w:rsidR="00060EFB" w:rsidRPr="00283E81">
        <w:rPr>
          <w:rFonts w:ascii="Garamond" w:hAnsi="Garamond"/>
          <w:color w:val="000000"/>
          <w:sz w:val="22"/>
          <w:szCs w:val="22"/>
        </w:rPr>
        <w:t xml:space="preserve"> de la JAL</w:t>
      </w:r>
      <w:r w:rsidRPr="00283E81">
        <w:rPr>
          <w:rFonts w:ascii="Garamond" w:hAnsi="Garamond"/>
          <w:color w:val="000000"/>
          <w:sz w:val="22"/>
          <w:szCs w:val="22"/>
        </w:rPr>
        <w:t>.</w:t>
      </w:r>
    </w:p>
    <w:p w14:paraId="7CB99D4D"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Puesta en funcionamiento de la red de aguas lluvias, tanque y motobombas que alimentan el sistema de red contra incendios existente.</w:t>
      </w:r>
    </w:p>
    <w:p w14:paraId="2FEE44CE"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de fachadas.</w:t>
      </w:r>
    </w:p>
    <w:p w14:paraId="79EAD587" w14:textId="555DBE32" w:rsidR="00080A8C"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de bombas hidráulicas</w:t>
      </w:r>
    </w:p>
    <w:p w14:paraId="46DC2CDA" w14:textId="77777777" w:rsidR="00060EFB"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Las demás actividades que se encuentren necesarias a ejecutar una vez se ejecute el diagnóstico integral de la sede.</w:t>
      </w:r>
    </w:p>
    <w:p w14:paraId="66D172FB" w14:textId="77777777" w:rsidR="00080A8C" w:rsidRPr="00283E81" w:rsidRDefault="00080A8C" w:rsidP="00080A8C">
      <w:pPr>
        <w:pBdr>
          <w:top w:val="nil"/>
          <w:left w:val="nil"/>
          <w:bottom w:val="nil"/>
          <w:right w:val="nil"/>
          <w:between w:val="nil"/>
        </w:pBdr>
        <w:suppressAutoHyphens w:val="0"/>
        <w:autoSpaceDN/>
        <w:spacing w:before="45" w:line="276" w:lineRule="auto"/>
        <w:ind w:left="978"/>
        <w:jc w:val="both"/>
        <w:textAlignment w:val="auto"/>
        <w:rPr>
          <w:rFonts w:ascii="Garamond" w:hAnsi="Garamond"/>
          <w:color w:val="000000"/>
          <w:sz w:val="22"/>
          <w:szCs w:val="22"/>
        </w:rPr>
      </w:pPr>
    </w:p>
    <w:p w14:paraId="41FA818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acuerdo con la Ficha EBI-L y la DTS se justifica contratar y realizar una Diagnóstico de las instalaciones que se necesitan para la actualización de los planos Arquitectónicos de la planta física, de las instalaciones eléctricas, Hidráulicas, Sanitarias, red contra incendio, redes de voz y datos, y su vez el levantamiento de oficinas y de puestos de trabajo junto al mobiliario, ajustados a la norma y proyectar las intervenciones, diseños y recomendaciones que requiera en todos sus sistemas, realizar los presupuestos y programación y realizar las intervenciones puntuales ya descritas hasta agotar el monto disponible de los recursos destinados para ello, de acuerdo a los resultados arrojados de necesidades tanto de este contrato como las ya priorizadas por el FDLF para ello se hace necesario contratar una persona Natural o Jurídica para que realice el </w:t>
      </w:r>
      <w:r w:rsidRPr="00283E81">
        <w:rPr>
          <w:rFonts w:ascii="Garamond" w:hAnsi="Garamond"/>
          <w:sz w:val="22"/>
          <w:szCs w:val="22"/>
        </w:rPr>
        <w:t>diagnóstico</w:t>
      </w:r>
      <w:r w:rsidRPr="00283E81">
        <w:rPr>
          <w:rFonts w:ascii="Garamond" w:hAnsi="Garamond"/>
          <w:color w:val="000000"/>
          <w:sz w:val="22"/>
          <w:szCs w:val="22"/>
        </w:rPr>
        <w:t xml:space="preserve"> e intervenciones y mantenimientos necesarios para su buen funcionamiento de la entidad, y a su vez dentro de la intervención realizar las adecuaciones prioritarias estipuladas en el presente estudio previo y los documentos que lo soportan.</w:t>
      </w:r>
    </w:p>
    <w:p w14:paraId="42488C6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743E721A" w14:textId="77777777" w:rsidR="00FD3A4F" w:rsidRPr="00283E81" w:rsidRDefault="2BA1E2F2" w:rsidP="00FD3A4F">
      <w:pPr>
        <w:widowControl/>
        <w:jc w:val="center"/>
        <w:rPr>
          <w:rFonts w:ascii="Garamond" w:eastAsia="Arial" w:hAnsi="Garamond" w:cs="Arial"/>
          <w:sz w:val="22"/>
          <w:szCs w:val="22"/>
        </w:rPr>
      </w:pPr>
      <w:r w:rsidRPr="00283E81">
        <w:rPr>
          <w:rFonts w:ascii="Garamond" w:hAnsi="Garamond"/>
          <w:noProof/>
          <w:sz w:val="22"/>
          <w:szCs w:val="22"/>
        </w:rPr>
        <w:lastRenderedPageBreak/>
        <w:drawing>
          <wp:inline distT="0" distB="0" distL="0" distR="0" wp14:anchorId="1A30BB41" wp14:editId="27BE5CE3">
            <wp:extent cx="4192469" cy="3840060"/>
            <wp:effectExtent l="0" t="0" r="0" b="8255"/>
            <wp:docPr id="20619664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4192469" cy="3840060"/>
                    </a:xfrm>
                    <a:prstGeom prst="rect">
                      <a:avLst/>
                    </a:prstGeom>
                    <a:ln/>
                  </pic:spPr>
                </pic:pic>
              </a:graphicData>
            </a:graphic>
          </wp:inline>
        </w:drawing>
      </w:r>
    </w:p>
    <w:p w14:paraId="1AAC3BDF" w14:textId="77777777" w:rsidR="00FD3A4F" w:rsidRPr="00283E81" w:rsidRDefault="00FD3A4F" w:rsidP="00FD3A4F">
      <w:pPr>
        <w:widowControl/>
        <w:jc w:val="center"/>
        <w:rPr>
          <w:rFonts w:ascii="Garamond" w:eastAsia="Arial" w:hAnsi="Garamond" w:cs="Arial"/>
          <w:sz w:val="22"/>
          <w:szCs w:val="22"/>
        </w:rPr>
      </w:pPr>
      <w:r w:rsidRPr="00283E81">
        <w:rPr>
          <w:rFonts w:ascii="Garamond" w:hAnsi="Garamond"/>
          <w:i/>
          <w:sz w:val="22"/>
          <w:szCs w:val="22"/>
        </w:rPr>
        <w:t>Imagen 1. Mapa ubicación de la Alcaldía Local de Fontibón. Elaboración Propia</w:t>
      </w:r>
    </w:p>
    <w:p w14:paraId="4A1C196D" w14:textId="77777777" w:rsidR="00660A95" w:rsidRPr="00283E81" w:rsidRDefault="00660A95" w:rsidP="00FD3A4F">
      <w:pPr>
        <w:widowControl/>
        <w:jc w:val="both"/>
        <w:rPr>
          <w:rFonts w:ascii="Garamond" w:hAnsi="Garamond"/>
          <w:sz w:val="22"/>
          <w:szCs w:val="22"/>
          <w:highlight w:val="yellow"/>
        </w:rPr>
      </w:pPr>
    </w:p>
    <w:p w14:paraId="25DE2EEC" w14:textId="77777777" w:rsidR="00FD3A4F" w:rsidRPr="00283E81" w:rsidRDefault="00FD3A4F" w:rsidP="00FD3A4F">
      <w:pPr>
        <w:widowControl/>
        <w:jc w:val="both"/>
        <w:rPr>
          <w:rFonts w:ascii="Garamond" w:hAnsi="Garamond"/>
          <w:b/>
          <w:sz w:val="22"/>
          <w:szCs w:val="22"/>
        </w:rPr>
      </w:pPr>
      <w:r w:rsidRPr="00283E81">
        <w:rPr>
          <w:rFonts w:ascii="Garamond" w:hAnsi="Garamond"/>
          <w:b/>
          <w:sz w:val="22"/>
          <w:szCs w:val="22"/>
        </w:rPr>
        <w:t>ALCALDÍA LOCAL DE FONTIBÓN (registro fotográfico)</w:t>
      </w:r>
    </w:p>
    <w:p w14:paraId="57BAC988" w14:textId="77777777" w:rsidR="00FD3A4F" w:rsidRPr="00283E81" w:rsidRDefault="00FD3A4F" w:rsidP="00FD3A4F">
      <w:pPr>
        <w:widowControl/>
        <w:jc w:val="both"/>
        <w:rPr>
          <w:rFonts w:ascii="Garamond" w:hAnsi="Garamond"/>
          <w:b/>
          <w:sz w:val="22"/>
          <w:szCs w:val="22"/>
        </w:rPr>
      </w:pPr>
    </w:p>
    <w:p w14:paraId="33D25048" w14:textId="77777777" w:rsidR="00FD3A4F" w:rsidRPr="00283E81" w:rsidRDefault="00FD3A4F" w:rsidP="00FD3A4F">
      <w:pPr>
        <w:widowControl/>
        <w:jc w:val="center"/>
        <w:rPr>
          <w:rFonts w:ascii="Garamond" w:hAnsi="Garamond"/>
          <w:b/>
          <w:sz w:val="22"/>
          <w:szCs w:val="22"/>
        </w:rPr>
      </w:pPr>
      <w:r w:rsidRPr="00283E81">
        <w:rPr>
          <w:rFonts w:ascii="Garamond" w:hAnsi="Garamond"/>
          <w:b/>
          <w:noProof/>
          <w:sz w:val="22"/>
          <w:szCs w:val="22"/>
        </w:rPr>
        <w:lastRenderedPageBreak/>
        <w:drawing>
          <wp:inline distT="114300" distB="114300" distL="114300" distR="114300" wp14:anchorId="55BC8A9F" wp14:editId="3D1EE182">
            <wp:extent cx="3671888" cy="3154212"/>
            <wp:effectExtent l="0" t="0" r="0" b="0"/>
            <wp:docPr id="206196647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a:srcRect l="28203" t="13292" r="19159" b="26454"/>
                    <a:stretch>
                      <a:fillRect/>
                    </a:stretch>
                  </pic:blipFill>
                  <pic:spPr>
                    <a:xfrm>
                      <a:off x="0" y="0"/>
                      <a:ext cx="3671888" cy="3154212"/>
                    </a:xfrm>
                    <a:prstGeom prst="rect">
                      <a:avLst/>
                    </a:prstGeom>
                    <a:ln/>
                  </pic:spPr>
                </pic:pic>
              </a:graphicData>
            </a:graphic>
          </wp:inline>
        </w:drawing>
      </w:r>
    </w:p>
    <w:p w14:paraId="265EA6E2" w14:textId="77777777" w:rsidR="00FD3A4F" w:rsidRPr="00283E81" w:rsidRDefault="00FD3A4F" w:rsidP="00FD3A4F">
      <w:pPr>
        <w:widowControl/>
        <w:jc w:val="center"/>
        <w:rPr>
          <w:rFonts w:ascii="Garamond" w:hAnsi="Garamond"/>
          <w:i/>
          <w:sz w:val="22"/>
          <w:szCs w:val="22"/>
        </w:rPr>
      </w:pPr>
      <w:r w:rsidRPr="00283E81">
        <w:rPr>
          <w:rFonts w:ascii="Garamond" w:hAnsi="Garamond"/>
          <w:i/>
          <w:sz w:val="22"/>
          <w:szCs w:val="22"/>
        </w:rPr>
        <w:t>Imagen 2. Alcaldía Local de Fontibón. Elaboración Propia</w:t>
      </w:r>
    </w:p>
    <w:p w14:paraId="183505F1" w14:textId="77777777" w:rsidR="00FD3A4F" w:rsidRPr="00283E81" w:rsidRDefault="00FD3A4F" w:rsidP="00FD3A4F">
      <w:pPr>
        <w:widowControl/>
        <w:jc w:val="center"/>
        <w:rPr>
          <w:rFonts w:ascii="Garamond" w:hAnsi="Garamond"/>
          <w:i/>
          <w:sz w:val="22"/>
          <w:szCs w:val="22"/>
        </w:rPr>
      </w:pPr>
      <w:r w:rsidRPr="00283E81">
        <w:rPr>
          <w:rFonts w:ascii="Garamond" w:hAnsi="Garamond"/>
          <w:i/>
          <w:noProof/>
          <w:sz w:val="22"/>
          <w:szCs w:val="22"/>
        </w:rPr>
        <w:drawing>
          <wp:inline distT="114300" distB="114300" distL="114300" distR="114300" wp14:anchorId="64BE19B5" wp14:editId="5DC81DC3">
            <wp:extent cx="3829050" cy="2869261"/>
            <wp:effectExtent l="0" t="0" r="0" b="7620"/>
            <wp:docPr id="2061966475" name="image5.jpg" descr="Vista de una ciudad&#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061966475" name="image5.jpg" descr="Vista de una ciudad&#10;&#10;El contenido generado por IA puede ser incorrecto."/>
                    <pic:cNvPicPr preferRelativeResize="0"/>
                  </pic:nvPicPr>
                  <pic:blipFill>
                    <a:blip r:embed="rId13"/>
                    <a:srcRect/>
                    <a:stretch>
                      <a:fillRect/>
                    </a:stretch>
                  </pic:blipFill>
                  <pic:spPr>
                    <a:xfrm>
                      <a:off x="0" y="0"/>
                      <a:ext cx="3841037" cy="2878243"/>
                    </a:xfrm>
                    <a:prstGeom prst="rect">
                      <a:avLst/>
                    </a:prstGeom>
                    <a:ln/>
                  </pic:spPr>
                </pic:pic>
              </a:graphicData>
            </a:graphic>
          </wp:inline>
        </w:drawing>
      </w:r>
    </w:p>
    <w:p w14:paraId="6D7DA14E" w14:textId="07E9F847" w:rsidR="00FD3A4F" w:rsidRPr="00283E81" w:rsidRDefault="00FD3A4F" w:rsidP="005169D6">
      <w:pPr>
        <w:widowControl/>
        <w:jc w:val="center"/>
        <w:rPr>
          <w:rFonts w:ascii="Garamond" w:hAnsi="Garamond"/>
          <w:sz w:val="22"/>
          <w:szCs w:val="22"/>
          <w:highlight w:val="yellow"/>
        </w:rPr>
      </w:pPr>
      <w:r w:rsidRPr="00283E81">
        <w:rPr>
          <w:rFonts w:ascii="Garamond" w:hAnsi="Garamond"/>
          <w:i/>
          <w:sz w:val="22"/>
          <w:szCs w:val="22"/>
        </w:rPr>
        <w:t>Imagen 3. Alcaldía Local de Fontibón. Elaboración Propia</w:t>
      </w:r>
    </w:p>
    <w:p w14:paraId="07A21F75"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 xml:space="preserve">1.2 CONVENIENCIA DE LA CONTRATACIÓN </w:t>
      </w:r>
    </w:p>
    <w:p w14:paraId="719D7131" w14:textId="77777777" w:rsidR="00FD3A4F" w:rsidRPr="00283E81" w:rsidRDefault="00FD3A4F" w:rsidP="00FD3A4F">
      <w:pPr>
        <w:jc w:val="both"/>
        <w:rPr>
          <w:rFonts w:ascii="Garamond" w:hAnsi="Garamond" w:cs="Arial"/>
          <w:b/>
          <w:sz w:val="22"/>
          <w:szCs w:val="22"/>
        </w:rPr>
      </w:pPr>
    </w:p>
    <w:p w14:paraId="400C4CA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lastRenderedPageBreak/>
        <w:t xml:space="preserve">Por lo anteriormente expuesto, se hace necesario, oportuno y pertinente, para la Administración Local, llevar a cabo un Contrato de Obra para la </w:t>
      </w:r>
      <w:r w:rsidRPr="00283E81">
        <w:rPr>
          <w:rFonts w:ascii="Garamond" w:hAnsi="Garamond"/>
          <w:b/>
          <w:bCs/>
          <w:color w:val="000000" w:themeColor="text1"/>
          <w:sz w:val="22"/>
          <w:szCs w:val="22"/>
        </w:rPr>
        <w:t xml:space="preserve">“CONSTRUCCIÓN, MANTENIMIENTO Y DE SEDES ADMINISTRATIVAS”, </w:t>
      </w:r>
      <w:r w:rsidRPr="00283E81">
        <w:rPr>
          <w:rFonts w:ascii="Garamond" w:hAnsi="Garamond"/>
          <w:color w:val="000000" w:themeColor="text1"/>
          <w:sz w:val="22"/>
          <w:szCs w:val="22"/>
        </w:rPr>
        <w:t>con el propósito de contribuir con la preservación de los bienes inmuebles pertenecientes a la localidad.</w:t>
      </w:r>
    </w:p>
    <w:p w14:paraId="32E57338"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2781E8F0" w14:textId="1EFCB3D5" w:rsidR="00FD3A4F" w:rsidRPr="00283E81" w:rsidRDefault="00FD3A4F" w:rsidP="7B655BC0">
      <w:pPr>
        <w:spacing w:after="160" w:line="276" w:lineRule="auto"/>
        <w:jc w:val="both"/>
        <w:rPr>
          <w:rFonts w:ascii="Garamond" w:hAnsi="Garamond"/>
          <w:color w:val="000000"/>
          <w:sz w:val="22"/>
          <w:szCs w:val="22"/>
        </w:rPr>
      </w:pPr>
      <w:r w:rsidRPr="00283E81">
        <w:rPr>
          <w:rFonts w:ascii="Garamond" w:hAnsi="Garamond"/>
          <w:color w:val="000000" w:themeColor="text1"/>
          <w:sz w:val="22"/>
          <w:szCs w:val="22"/>
        </w:rPr>
        <w:t xml:space="preserve">El problema que se pretende resolver con la implementación de este proyecto, consiste en cubrir la necesidad de mejorar las instalaciones de las sedes administrativas de la Alcaldía Local de Fontibón, mediante intervenciones integrales relacionadas con infraestructura física, es por tanto prioritario realizar la adecuación y mantenimiento de sedes administrativas, en el entendido que así se generan espacios de participación que contribuyan a su vez a fortalecer condiciones básicas para tejer la vida en comunidad, integrando a sus habitantes entre sí y con la ciudad, lo que finalmente se traduce en un mejoramiento de la calidad de vida. De esta manera el Fondo de Desarrollo Local de Fontibón genera un proceso, cuyo objeto es: </w:t>
      </w:r>
      <w:r w:rsidRPr="00283E81">
        <w:rPr>
          <w:rFonts w:ascii="Garamond" w:hAnsi="Garamond"/>
          <w:b/>
          <w:bCs/>
          <w:color w:val="000000" w:themeColor="text1"/>
          <w:sz w:val="22"/>
          <w:szCs w:val="22"/>
        </w:rPr>
        <w:t>“</w:t>
      </w:r>
      <w:r w:rsidR="295E2BC3" w:rsidRPr="00283E81">
        <w:rPr>
          <w:rFonts w:ascii="Garamond" w:hAnsi="Garamond"/>
          <w:b/>
          <w:bCs/>
          <w:color w:val="000000" w:themeColor="text1"/>
          <w:sz w:val="22"/>
          <w:szCs w:val="22"/>
        </w:rPr>
        <w:t>CONTRATAR MEDIANTE EL SISTEMA DE PRECIOS UNITARIOS FIJOS A MONTO AGOTABLE LAS OBRAS DE MANTENIMIENTO, ADECUACIÓN Y REPARACIÓN LOCATIVA, DE LA SEDE DE LA ALCALDÍA LOCAL Y LA JAL DE FONTIBÓN EN LA CIUDAD DE BOGOTÁ D.C.</w:t>
      </w:r>
      <w:r w:rsidRPr="00283E81">
        <w:rPr>
          <w:rFonts w:ascii="Garamond" w:hAnsi="Garamond"/>
          <w:color w:val="000000" w:themeColor="text1"/>
          <w:sz w:val="22"/>
          <w:szCs w:val="22"/>
        </w:rPr>
        <w:t>”</w:t>
      </w:r>
    </w:p>
    <w:p w14:paraId="3DD1FE8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C1D60FF"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Teniendo en cuenta que la sede de la Alcaldía es una entidad activa, y que cada año requiere diversos mantenimientos en su planta </w:t>
      </w:r>
      <w:r w:rsidRPr="00283E81">
        <w:rPr>
          <w:rFonts w:ascii="Garamond" w:hAnsi="Garamond"/>
          <w:sz w:val="22"/>
          <w:szCs w:val="22"/>
        </w:rPr>
        <w:t>física</w:t>
      </w:r>
      <w:r w:rsidRPr="00283E81">
        <w:rPr>
          <w:rFonts w:ascii="Garamond" w:hAnsi="Garamond"/>
          <w:color w:val="000000"/>
          <w:sz w:val="22"/>
          <w:szCs w:val="22"/>
        </w:rPr>
        <w:t xml:space="preserve">, instalaciones y mobiliario, y tras casi una década desde su construcción, se requiere adelantar el proceso de </w:t>
      </w:r>
      <w:r w:rsidRPr="00283E81">
        <w:rPr>
          <w:rFonts w:ascii="Garamond" w:hAnsi="Garamond"/>
          <w:sz w:val="22"/>
          <w:szCs w:val="22"/>
        </w:rPr>
        <w:t>selección abreviada de menor cuantía p</w:t>
      </w:r>
      <w:r w:rsidRPr="00283E81">
        <w:rPr>
          <w:rFonts w:ascii="Garamond" w:hAnsi="Garamond"/>
          <w:color w:val="000000"/>
          <w:sz w:val="22"/>
          <w:szCs w:val="22"/>
        </w:rPr>
        <w:t>ara contratar el diagnóstico integral de la infraestructura de la sede de la alcaldía local de Fontibón mediante obras de mantenimiento y/o adecuación y/o reparaciones locativas necesarias.</w:t>
      </w:r>
    </w:p>
    <w:p w14:paraId="4E1EF113"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41348F6" w14:textId="77777777" w:rsidR="00FD3A4F" w:rsidRPr="00283E81" w:rsidRDefault="00FD3A4F" w:rsidP="003400E2">
      <w:pPr>
        <w:numPr>
          <w:ilvl w:val="0"/>
          <w:numId w:val="2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a. Oportunidad </w:t>
      </w:r>
    </w:p>
    <w:p w14:paraId="42E2BDC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0F97BF9C" w14:textId="17001C04"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Con las obras de Adecuación</w:t>
      </w:r>
      <w:r w:rsidR="00FA547B" w:rsidRPr="00283E81">
        <w:rPr>
          <w:rFonts w:ascii="Garamond" w:hAnsi="Garamond"/>
          <w:color w:val="000000"/>
          <w:sz w:val="22"/>
          <w:szCs w:val="22"/>
        </w:rPr>
        <w:t xml:space="preserve"> y</w:t>
      </w:r>
      <w:r w:rsidRPr="00283E81">
        <w:rPr>
          <w:rFonts w:ascii="Garamond" w:hAnsi="Garamond"/>
          <w:color w:val="000000"/>
          <w:sz w:val="22"/>
          <w:szCs w:val="22"/>
        </w:rPr>
        <w:t xml:space="preserve"> mantenimiento de acuerdo al resultado de los diagnósticos, diseños y modelaciones que realiza el FDL y complementará el contratista de obra y que posteriormente avalará la </w:t>
      </w:r>
      <w:r w:rsidRPr="00283E81">
        <w:rPr>
          <w:rFonts w:ascii="Garamond" w:hAnsi="Garamond"/>
          <w:sz w:val="22"/>
          <w:szCs w:val="22"/>
        </w:rPr>
        <w:t>supervisión del FDLF</w:t>
      </w:r>
      <w:r w:rsidRPr="00283E81">
        <w:rPr>
          <w:rFonts w:ascii="Garamond" w:hAnsi="Garamond"/>
          <w:color w:val="000000"/>
          <w:sz w:val="22"/>
          <w:szCs w:val="22"/>
        </w:rPr>
        <w:t>, sobre las sedes administrativas de la Localidad, se busca realizar intervenciones a la infraestructura social con la finalidad de mejorar las condiciones de vida de los residentes en los barrios para que puedan ejercer de forma constante, garantizada y plena sus demás derechos como ciudadanos. </w:t>
      </w:r>
    </w:p>
    <w:p w14:paraId="4B9E734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8B84534" w14:textId="77777777" w:rsidR="00FD3A4F" w:rsidRPr="00283E81" w:rsidRDefault="00FD3A4F" w:rsidP="003400E2">
      <w:pPr>
        <w:numPr>
          <w:ilvl w:val="0"/>
          <w:numId w:val="2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Conveniencia </w:t>
      </w:r>
    </w:p>
    <w:p w14:paraId="7043A565"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E2CF4C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 conveniente la contratación, teniendo en cuenta las siguientes razones de índole: </w:t>
      </w:r>
    </w:p>
    <w:p w14:paraId="4DB81F88"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br/>
      </w:r>
    </w:p>
    <w:p w14:paraId="2B9E9420"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 xml:space="preserve">Técnicas: </w:t>
      </w:r>
      <w:r w:rsidRPr="00283E81">
        <w:rPr>
          <w:rFonts w:ascii="Garamond" w:hAnsi="Garamond"/>
          <w:color w:val="000000"/>
          <w:sz w:val="22"/>
          <w:szCs w:val="22"/>
        </w:rPr>
        <w:t xml:space="preserve">La contratación tiene su origen en el Proyecto 2412 “Fontibón camina hacia el fortalecimiento institucional”, el cual busca intervenir el edificio de la sede de la Alcaldía Local de Fontibón, por su alto flujo de personas, las cargas vivas y muertas del edificio, el clima, el contacto físico con las superficies, entre otros factores, hacen que, la infraestructura necesite de mantenimientos que garanticen la </w:t>
      </w:r>
      <w:r w:rsidRPr="00283E81">
        <w:rPr>
          <w:rFonts w:ascii="Garamond" w:hAnsi="Garamond"/>
          <w:color w:val="000000"/>
          <w:sz w:val="22"/>
          <w:szCs w:val="22"/>
        </w:rPr>
        <w:lastRenderedPageBreak/>
        <w:t>funcionalidad y el confort de todos los espacios</w:t>
      </w:r>
      <w:r w:rsidRPr="00283E81">
        <w:rPr>
          <w:rFonts w:ascii="Garamond" w:hAnsi="Garamond"/>
          <w:b/>
          <w:color w:val="000000"/>
          <w:sz w:val="22"/>
          <w:szCs w:val="22"/>
        </w:rPr>
        <w:t>.</w:t>
      </w:r>
    </w:p>
    <w:p w14:paraId="7DA562CB"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4CCBF769" w14:textId="4E084006"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Debido a qu</w:t>
      </w:r>
      <w:r w:rsidR="00221FEA" w:rsidRPr="00283E81">
        <w:rPr>
          <w:rFonts w:ascii="Garamond" w:hAnsi="Garamond"/>
          <w:color w:val="000000"/>
          <w:sz w:val="22"/>
          <w:szCs w:val="22"/>
        </w:rPr>
        <w:t>e las i</w:t>
      </w:r>
      <w:r w:rsidRPr="00283E81">
        <w:rPr>
          <w:rFonts w:ascii="Garamond" w:hAnsi="Garamond"/>
          <w:color w:val="000000"/>
          <w:sz w:val="22"/>
          <w:szCs w:val="22"/>
        </w:rPr>
        <w:t xml:space="preserve">nstalaciones </w:t>
      </w:r>
      <w:r w:rsidR="00221FEA" w:rsidRPr="00283E81">
        <w:rPr>
          <w:rFonts w:ascii="Garamond" w:hAnsi="Garamond"/>
          <w:color w:val="000000"/>
          <w:sz w:val="22"/>
          <w:szCs w:val="22"/>
        </w:rPr>
        <w:t xml:space="preserve">de la Alcaldía Local de Fontibón </w:t>
      </w:r>
      <w:r w:rsidRPr="00283E81">
        <w:rPr>
          <w:rFonts w:ascii="Garamond" w:hAnsi="Garamond"/>
          <w:color w:val="000000"/>
          <w:sz w:val="22"/>
          <w:szCs w:val="22"/>
        </w:rPr>
        <w:t>tiene varios años de constru</w:t>
      </w:r>
      <w:r w:rsidR="00221FEA" w:rsidRPr="00283E81">
        <w:rPr>
          <w:rFonts w:ascii="Garamond" w:hAnsi="Garamond"/>
          <w:color w:val="000000"/>
          <w:sz w:val="22"/>
          <w:szCs w:val="22"/>
        </w:rPr>
        <w:t>ida</w:t>
      </w:r>
      <w:r w:rsidRPr="00283E81">
        <w:rPr>
          <w:rFonts w:ascii="Garamond" w:hAnsi="Garamond"/>
          <w:color w:val="000000"/>
          <w:sz w:val="22"/>
          <w:szCs w:val="22"/>
        </w:rPr>
        <w:t xml:space="preserve">, se requiere realizar el diagnostico </w:t>
      </w:r>
      <w:r w:rsidR="00221FEA" w:rsidRPr="00283E81">
        <w:rPr>
          <w:rFonts w:ascii="Garamond" w:hAnsi="Garamond"/>
          <w:color w:val="000000"/>
          <w:sz w:val="22"/>
          <w:szCs w:val="22"/>
        </w:rPr>
        <w:t>en el que se realice un</w:t>
      </w:r>
      <w:r w:rsidRPr="00283E81">
        <w:rPr>
          <w:rFonts w:ascii="Garamond" w:hAnsi="Garamond"/>
          <w:color w:val="000000"/>
          <w:sz w:val="22"/>
          <w:szCs w:val="22"/>
        </w:rPr>
        <w:t xml:space="preserve"> levantamiento arquitectónico de la planta física, de las instalaciones eléctricas, hidráulicas, sanitarias, red contra incendio, redes de voz y datos, y su vez el levantamiento de oficinas y de puestos de trabajo junto al mobiliario y redes, y realizar los diseños ajustados a la norma y proyectar las intervenciones, diseños, presupuestos y recomendaciones que requiera en todos sus sistemas, aprobada por el apoyo a la supervisión, con la priorización requerida.</w:t>
      </w:r>
    </w:p>
    <w:p w14:paraId="47DF661D"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605D40BF"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Para garantizar un adecuado mantenimiento de la infraestructura de la sede, se contará con el manual de mantenimiento y conservación de la sede entregado por el contratista de obra, para regirse y seguir las recomendaciones que en él se exponen.</w:t>
      </w:r>
    </w:p>
    <w:p w14:paraId="7489D3E6"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669309B3"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Para la elaboración del Diagnóstico se deben contemplar todos los requerimientos de las diferentes dependencias y requerimientos técnicos del nivel central que se presenten durante el desarrollo de esta y los establecidos en las especificaciones técnicas descritas para cada ítem a ejecutarse.</w:t>
      </w:r>
    </w:p>
    <w:p w14:paraId="31E80EA4"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2E8671A9"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bCs/>
          <w:color w:val="000000" w:themeColor="text1"/>
          <w:sz w:val="22"/>
          <w:szCs w:val="22"/>
        </w:rPr>
        <w:t xml:space="preserve">Institucional: </w:t>
      </w:r>
      <w:r w:rsidRPr="00283E81">
        <w:rPr>
          <w:rFonts w:ascii="Garamond" w:hAnsi="Garamond"/>
          <w:color w:val="000000" w:themeColor="text1"/>
          <w:sz w:val="22"/>
          <w:szCs w:val="22"/>
        </w:rPr>
        <w:t xml:space="preserve">La Administración Local de Fontibón a través de su Plan de Desarrollo 2025 – 2028 “FONTIBON CAMINA SEGURA” incluyó dentro de su Artículo 56. “Intervenir y/o dotar 3 sedes administrativas locales y de la Junta Administradora Local” y priorizo dentro de sus acciones para el cumplimiento de la meta vigencia 2025 la sede principal de la </w:t>
      </w:r>
      <w:proofErr w:type="spellStart"/>
      <w:r w:rsidRPr="00283E81">
        <w:rPr>
          <w:rFonts w:ascii="Garamond" w:hAnsi="Garamond"/>
          <w:color w:val="000000" w:themeColor="text1"/>
          <w:sz w:val="22"/>
          <w:szCs w:val="22"/>
        </w:rPr>
        <w:t>Alcaldia</w:t>
      </w:r>
      <w:proofErr w:type="spellEnd"/>
      <w:r w:rsidRPr="00283E81">
        <w:rPr>
          <w:rFonts w:ascii="Garamond" w:hAnsi="Garamond"/>
          <w:color w:val="000000" w:themeColor="text1"/>
          <w:sz w:val="22"/>
          <w:szCs w:val="22"/>
        </w:rPr>
        <w:t xml:space="preserve"> Local de Fontibón.</w:t>
      </w:r>
    </w:p>
    <w:p w14:paraId="76C3303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91CB2CD"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color w:val="000000"/>
          <w:sz w:val="22"/>
          <w:szCs w:val="22"/>
        </w:rPr>
        <w:t xml:space="preserve">Sociales: </w:t>
      </w:r>
      <w:r w:rsidRPr="00283E81">
        <w:rPr>
          <w:rFonts w:ascii="Garamond" w:hAnsi="Garamond"/>
          <w:color w:val="000000"/>
          <w:sz w:val="22"/>
          <w:szCs w:val="22"/>
        </w:rPr>
        <w:t>Se considera conveniente la contratación del mantenimiento de la sede donde funcionan las oficinas de la alcaldía Local de Fontibón, en aras de que se tengan espacios inclusivos y seguros de atención a la comunidad.</w:t>
      </w:r>
    </w:p>
    <w:p w14:paraId="1D0424A3" w14:textId="77777777" w:rsidR="00FD3A4F" w:rsidRPr="00283E81" w:rsidRDefault="00FD3A4F" w:rsidP="00FD3A4F">
      <w:pPr>
        <w:pBdr>
          <w:top w:val="nil"/>
          <w:left w:val="nil"/>
          <w:bottom w:val="nil"/>
          <w:right w:val="nil"/>
          <w:between w:val="nil"/>
        </w:pBdr>
        <w:ind w:left="978" w:hanging="360"/>
        <w:rPr>
          <w:rFonts w:ascii="Garamond" w:hAnsi="Garamond"/>
          <w:color w:val="000000"/>
          <w:sz w:val="22"/>
          <w:szCs w:val="22"/>
        </w:rPr>
      </w:pPr>
    </w:p>
    <w:p w14:paraId="42FE439A"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r w:rsidRPr="00283E81">
        <w:rPr>
          <w:rFonts w:ascii="Garamond" w:hAnsi="Garamond"/>
          <w:color w:val="000000"/>
          <w:sz w:val="22"/>
          <w:szCs w:val="22"/>
        </w:rPr>
        <w:t>Por lo anterior la administración local realizará acciones para el fortalecimiento de los espacios de atención ciudadana donde se facilite la promoción de la participación mediante el enfoque de gobierno abierto y control ciudadano.</w:t>
      </w:r>
    </w:p>
    <w:p w14:paraId="2F74423D"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p>
    <w:p w14:paraId="1A1DE917"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r w:rsidRPr="00283E81">
        <w:rPr>
          <w:rFonts w:ascii="Garamond" w:hAnsi="Garamond"/>
          <w:color w:val="000000"/>
          <w:sz w:val="22"/>
          <w:szCs w:val="22"/>
        </w:rPr>
        <w:t>Así mismo, se buscará fortalecer la capacidad de la Administración Local para el cumplimiento de las funciones de inspección, vigilancia y control, restaurando la confianza institucional y el buen gobierno local.</w:t>
      </w:r>
    </w:p>
    <w:p w14:paraId="0883E369"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p>
    <w:p w14:paraId="2592496B" w14:textId="079D1156"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color w:val="000000"/>
          <w:sz w:val="22"/>
          <w:szCs w:val="22"/>
        </w:rPr>
        <w:t xml:space="preserve">Razones Políticas y Legales: </w:t>
      </w:r>
      <w:r w:rsidRPr="00283E81">
        <w:rPr>
          <w:rFonts w:ascii="Garamond" w:hAnsi="Garamond"/>
          <w:bCs/>
          <w:color w:val="000000"/>
          <w:sz w:val="22"/>
          <w:szCs w:val="22"/>
        </w:rPr>
        <w:t>El</w:t>
      </w:r>
      <w:r w:rsidRPr="00283E81">
        <w:rPr>
          <w:rFonts w:ascii="Garamond" w:hAnsi="Garamond"/>
          <w:b/>
          <w:color w:val="000000"/>
          <w:sz w:val="22"/>
          <w:szCs w:val="22"/>
        </w:rPr>
        <w:t xml:space="preserve"> </w:t>
      </w:r>
      <w:r w:rsidRPr="00283E81">
        <w:rPr>
          <w:rFonts w:ascii="Garamond" w:hAnsi="Garamond"/>
          <w:color w:val="000000"/>
          <w:sz w:val="22"/>
          <w:szCs w:val="22"/>
        </w:rPr>
        <w:t xml:space="preserve">Estado y la sociedad deben garantizar que se realicen las inversiones necesarias para mejorar la calidad de vida de la población, a través de la conservación, mantenimiento, adecuación y/o dotación de las sedes administrativas, tal y como se describe en las normas y leyes que sirven de soporte jurídico a este </w:t>
      </w:r>
      <w:r w:rsidR="00D4351F" w:rsidRPr="00283E81">
        <w:rPr>
          <w:rFonts w:ascii="Garamond" w:hAnsi="Garamond"/>
          <w:color w:val="000000"/>
          <w:sz w:val="22"/>
          <w:szCs w:val="22"/>
        </w:rPr>
        <w:t>proceso.</w:t>
      </w:r>
    </w:p>
    <w:p w14:paraId="36F1130B" w14:textId="77777777" w:rsidR="00FD3A4F" w:rsidRPr="00283E81" w:rsidRDefault="00FD3A4F" w:rsidP="00F768D0">
      <w:pPr>
        <w:pStyle w:val="Standard"/>
        <w:jc w:val="both"/>
        <w:rPr>
          <w:rFonts w:ascii="Garamond" w:hAnsi="Garamond" w:cs="Garamond"/>
          <w:color w:val="808080" w:themeColor="background1" w:themeShade="80"/>
          <w:sz w:val="22"/>
          <w:szCs w:val="22"/>
        </w:rPr>
      </w:pPr>
    </w:p>
    <w:bookmarkEnd w:id="1"/>
    <w:p w14:paraId="1B25005D" w14:textId="77777777" w:rsidR="00F768D0" w:rsidRPr="00283E81" w:rsidRDefault="00F768D0" w:rsidP="00F768D0">
      <w:pPr>
        <w:pStyle w:val="Standard"/>
        <w:jc w:val="both"/>
        <w:rPr>
          <w:rFonts w:ascii="Garamond" w:hAnsi="Garamond" w:cs="Arial"/>
          <w:color w:val="A6A6A6"/>
          <w:sz w:val="22"/>
          <w:szCs w:val="2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283E81" w14:paraId="09F1A848" w14:textId="77777777" w:rsidTr="002F4178">
        <w:trPr>
          <w:jc w:val="center"/>
        </w:trPr>
        <w:tc>
          <w:tcPr>
            <w:tcW w:w="9356" w:type="dxa"/>
            <w:shd w:val="clear" w:color="auto" w:fill="D9D9D9"/>
          </w:tcPr>
          <w:p w14:paraId="758BA97A" w14:textId="77777777" w:rsidR="00F768D0" w:rsidRPr="00283E81" w:rsidRDefault="00F768D0" w:rsidP="002F4178">
            <w:pPr>
              <w:pStyle w:val="Standard"/>
              <w:jc w:val="both"/>
              <w:rPr>
                <w:rFonts w:ascii="Garamond" w:hAnsi="Garamond" w:cs="Arial"/>
                <w:b/>
                <w:sz w:val="22"/>
                <w:szCs w:val="22"/>
              </w:rPr>
            </w:pPr>
            <w:bookmarkStart w:id="2" w:name="_Hlk79056347"/>
            <w:r w:rsidRPr="00283E81">
              <w:rPr>
                <w:rFonts w:ascii="Garamond" w:hAnsi="Garamond" w:cs="Arial"/>
                <w:b/>
                <w:sz w:val="22"/>
                <w:szCs w:val="22"/>
              </w:rPr>
              <w:lastRenderedPageBreak/>
              <w:t>2. OBJETO A CONTRATAR, ESPECIFICACIONES E IDENTIFICACIÓN DEL CONTRATO A CELEBRAR.</w:t>
            </w:r>
          </w:p>
        </w:tc>
      </w:tr>
      <w:bookmarkEnd w:id="2"/>
    </w:tbl>
    <w:p w14:paraId="16D1887B" w14:textId="77777777" w:rsidR="00F768D0" w:rsidRPr="00283E81" w:rsidRDefault="00F768D0" w:rsidP="00F768D0">
      <w:pPr>
        <w:pStyle w:val="Standard"/>
        <w:jc w:val="both"/>
        <w:rPr>
          <w:rFonts w:ascii="Garamond" w:hAnsi="Garamond" w:cs="Arial"/>
          <w:b/>
          <w:sz w:val="22"/>
          <w:szCs w:val="22"/>
        </w:rPr>
      </w:pPr>
    </w:p>
    <w:p w14:paraId="0385615C" w14:textId="77777777" w:rsidR="00FD3A4F" w:rsidRPr="00283E81" w:rsidRDefault="00FD3A4F" w:rsidP="00FD3A4F">
      <w:pPr>
        <w:tabs>
          <w:tab w:val="right" w:pos="9406"/>
        </w:tabs>
        <w:jc w:val="both"/>
        <w:rPr>
          <w:rFonts w:ascii="Garamond" w:hAnsi="Garamond" w:cs="Arial"/>
          <w:color w:val="A6A6A6"/>
          <w:sz w:val="22"/>
          <w:szCs w:val="22"/>
        </w:rPr>
      </w:pPr>
      <w:r w:rsidRPr="00283E81">
        <w:rPr>
          <w:rFonts w:ascii="Garamond" w:hAnsi="Garamond" w:cs="Arial"/>
          <w:b/>
          <w:sz w:val="22"/>
          <w:szCs w:val="22"/>
        </w:rPr>
        <w:t xml:space="preserve">2.1 OBJETO. </w:t>
      </w:r>
      <w:r w:rsidRPr="00283E81">
        <w:rPr>
          <w:rFonts w:ascii="Garamond" w:hAnsi="Garamond" w:cs="Arial"/>
          <w:b/>
          <w:sz w:val="22"/>
          <w:szCs w:val="22"/>
        </w:rPr>
        <w:tab/>
      </w:r>
    </w:p>
    <w:p w14:paraId="2EF4B5B4" w14:textId="77777777" w:rsidR="00FD3A4F" w:rsidRPr="00283E81" w:rsidRDefault="00FD3A4F" w:rsidP="00FD3A4F">
      <w:pPr>
        <w:jc w:val="both"/>
        <w:rPr>
          <w:rFonts w:ascii="Garamond" w:hAnsi="Garamond" w:cs="Arial"/>
          <w:color w:val="A6A6A6"/>
          <w:sz w:val="22"/>
          <w:szCs w:val="22"/>
        </w:rPr>
      </w:pPr>
    </w:p>
    <w:p w14:paraId="7CEB8577" w14:textId="75C047B6" w:rsidR="00FD3A4F" w:rsidRPr="00283E81" w:rsidRDefault="00FD3A4F" w:rsidP="7B655BC0">
      <w:pPr>
        <w:suppressAutoHyphens w:val="0"/>
        <w:autoSpaceDN/>
        <w:spacing w:after="160" w:line="276" w:lineRule="auto"/>
        <w:jc w:val="both"/>
        <w:textAlignment w:val="auto"/>
        <w:outlineLvl w:val="1"/>
        <w:rPr>
          <w:rFonts w:ascii="Garamond" w:eastAsia="Garamond" w:hAnsi="Garamond" w:cs="Garamond"/>
          <w:b/>
          <w:bCs/>
          <w:kern w:val="0"/>
          <w:sz w:val="22"/>
          <w:szCs w:val="22"/>
          <w:lang w:eastAsia="es-CO" w:bidi="ar-SA"/>
        </w:rPr>
      </w:pPr>
      <w:r w:rsidRPr="00283E81">
        <w:rPr>
          <w:rFonts w:ascii="Garamond" w:eastAsia="Garamond" w:hAnsi="Garamond" w:cs="Garamond"/>
          <w:kern w:val="0"/>
          <w:sz w:val="22"/>
          <w:szCs w:val="22"/>
          <w:lang w:eastAsia="es-CO" w:bidi="ar-SA"/>
        </w:rPr>
        <w:t xml:space="preserve">El contrato que se pretende celebrar tendrá por objeto: </w:t>
      </w:r>
      <w:r w:rsidRPr="00283E81">
        <w:rPr>
          <w:rFonts w:ascii="Garamond" w:eastAsia="Garamond" w:hAnsi="Garamond" w:cs="Garamond"/>
          <w:b/>
          <w:bCs/>
          <w:kern w:val="0"/>
          <w:sz w:val="22"/>
          <w:szCs w:val="22"/>
          <w:lang w:eastAsia="es-CO" w:bidi="ar-SA"/>
        </w:rPr>
        <w:t>“</w:t>
      </w:r>
      <w:r w:rsidR="43476C97" w:rsidRPr="00283E81">
        <w:rPr>
          <w:rFonts w:ascii="Garamond" w:eastAsia="Garamond" w:hAnsi="Garamond" w:cs="Garamond"/>
          <w:b/>
          <w:bCs/>
          <w:sz w:val="22"/>
          <w:szCs w:val="22"/>
          <w:lang w:eastAsia="es-CO" w:bidi="ar-SA"/>
        </w:rPr>
        <w:t>CONTRATAR MEDIANTE EL SISTEMA DE PRECIOS UNITARIOS FIJOS A MONTO AGOTABLE LAS OBRAS DE MANTENIMIENTO, ADECUACIÓN Y REPARACIÓN LOCATIVA, DE LA SEDE DE LA ALCALDÍA LOCAL Y LA JAL DE FONTIBÓN EN LA CIUDAD DE BOGOTÁ D.C.</w:t>
      </w:r>
      <w:r w:rsidRPr="00283E81">
        <w:rPr>
          <w:rFonts w:ascii="Garamond" w:eastAsia="Garamond" w:hAnsi="Garamond" w:cs="Garamond"/>
          <w:b/>
          <w:bCs/>
          <w:kern w:val="0"/>
          <w:sz w:val="22"/>
          <w:szCs w:val="22"/>
          <w:lang w:eastAsia="es-CO" w:bidi="ar-SA"/>
        </w:rPr>
        <w:t>”</w:t>
      </w:r>
    </w:p>
    <w:p w14:paraId="726C2694" w14:textId="77777777" w:rsidR="00FD3A4F" w:rsidRPr="00283E81" w:rsidRDefault="00FD3A4F" w:rsidP="00FD3A4F">
      <w:pPr>
        <w:suppressAutoHyphens w:val="0"/>
        <w:autoSpaceDN/>
        <w:spacing w:before="45" w:line="276" w:lineRule="auto"/>
        <w:ind w:left="516"/>
        <w:jc w:val="both"/>
        <w:textAlignment w:val="auto"/>
        <w:outlineLvl w:val="1"/>
        <w:rPr>
          <w:rFonts w:ascii="Garamond" w:eastAsia="Garamond" w:hAnsi="Garamond" w:cs="Garamond"/>
          <w:b/>
          <w:kern w:val="0"/>
          <w:sz w:val="22"/>
          <w:szCs w:val="22"/>
          <w:lang w:eastAsia="es-CO" w:bidi="ar-SA"/>
        </w:rPr>
      </w:pPr>
    </w:p>
    <w:p w14:paraId="3A1101D0" w14:textId="77777777" w:rsidR="00FD3A4F" w:rsidRPr="00283E81" w:rsidRDefault="00FD3A4F" w:rsidP="003400E2">
      <w:pPr>
        <w:numPr>
          <w:ilvl w:val="2"/>
          <w:numId w:val="19"/>
        </w:numPr>
        <w:suppressAutoHyphens w:val="0"/>
        <w:autoSpaceDN/>
        <w:spacing w:before="60" w:line="276" w:lineRule="auto"/>
        <w:ind w:hanging="511"/>
        <w:jc w:val="both"/>
        <w:textAlignment w:val="auto"/>
        <w:outlineLvl w:val="2"/>
        <w:rPr>
          <w:rFonts w:ascii="Garamond" w:eastAsia="Garamond" w:hAnsi="Garamond" w:cs="Garamond"/>
          <w:b/>
          <w:kern w:val="0"/>
          <w:sz w:val="22"/>
          <w:szCs w:val="22"/>
          <w:lang w:eastAsia="es-CO" w:bidi="ar-SA"/>
        </w:rPr>
      </w:pPr>
      <w:bookmarkStart w:id="3" w:name="_heading=h.41rhcsb5ftqu" w:colFirst="0" w:colLast="0"/>
      <w:bookmarkEnd w:id="3"/>
      <w:r w:rsidRPr="00283E81">
        <w:rPr>
          <w:rFonts w:ascii="Garamond" w:eastAsia="Garamond" w:hAnsi="Garamond" w:cs="Garamond"/>
          <w:b/>
          <w:kern w:val="0"/>
          <w:sz w:val="22"/>
          <w:szCs w:val="22"/>
          <w:lang w:eastAsia="es-CO" w:bidi="ar-SA"/>
        </w:rPr>
        <w:t>ALCANCE DEL OBJETO</w:t>
      </w:r>
    </w:p>
    <w:p w14:paraId="397F60C1" w14:textId="77777777" w:rsidR="00FD3A4F" w:rsidRPr="00283E81" w:rsidRDefault="00FD3A4F" w:rsidP="00FD3A4F">
      <w:pPr>
        <w:pBdr>
          <w:between w:val="nil"/>
        </w:pBdr>
        <w:suppressAutoHyphens w:val="0"/>
        <w:autoSpaceDN/>
        <w:spacing w:before="241" w:line="276" w:lineRule="auto"/>
        <w:ind w:left="258" w:right="296"/>
        <w:jc w:val="both"/>
        <w:textAlignment w:val="auto"/>
        <w:rPr>
          <w:rFonts w:ascii="Garamond" w:eastAsia="Garamond" w:hAnsi="Garamond" w:cs="Garamond"/>
          <w:color w:val="000000"/>
          <w:kern w:val="0"/>
          <w:sz w:val="22"/>
          <w:szCs w:val="22"/>
          <w:lang w:eastAsia="es-CO" w:bidi="ar-SA"/>
        </w:rPr>
      </w:pPr>
      <w:bookmarkStart w:id="4" w:name="_heading=h.3qf6aacd1v97" w:colFirst="0" w:colLast="0"/>
      <w:bookmarkEnd w:id="4"/>
      <w:r w:rsidRPr="00283E81">
        <w:rPr>
          <w:rFonts w:ascii="Garamond" w:eastAsia="Garamond" w:hAnsi="Garamond" w:cs="Garamond"/>
          <w:color w:val="000000"/>
          <w:kern w:val="0"/>
          <w:sz w:val="22"/>
          <w:szCs w:val="22"/>
          <w:lang w:eastAsia="es-CO" w:bidi="ar-SA"/>
        </w:rPr>
        <w:t xml:space="preserve">En el desarrollo del objeto a contratar se intervendrá la sede donde funciona la Alcaldía Local de Fontibón y la Junta Administradora Local, localizada en la </w:t>
      </w:r>
      <w:proofErr w:type="spellStart"/>
      <w:r w:rsidRPr="00283E81">
        <w:rPr>
          <w:rFonts w:ascii="Garamond" w:eastAsia="Garamond" w:hAnsi="Garamond" w:cs="Garamond"/>
          <w:color w:val="000000"/>
          <w:kern w:val="0"/>
          <w:sz w:val="22"/>
          <w:szCs w:val="22"/>
          <w:lang w:eastAsia="es-CO" w:bidi="ar-SA"/>
        </w:rPr>
        <w:t>Cra</w:t>
      </w:r>
      <w:proofErr w:type="spellEnd"/>
      <w:r w:rsidRPr="00283E81">
        <w:rPr>
          <w:rFonts w:ascii="Garamond" w:eastAsia="Garamond" w:hAnsi="Garamond" w:cs="Garamond"/>
          <w:color w:val="000000"/>
          <w:kern w:val="0"/>
          <w:sz w:val="22"/>
          <w:szCs w:val="22"/>
          <w:lang w:eastAsia="es-CO" w:bidi="ar-SA"/>
        </w:rPr>
        <w:t>. 99 #19-43, Bogotá, de la localidad de Fontibón.</w:t>
      </w:r>
    </w:p>
    <w:p w14:paraId="66AF9DEF" w14:textId="77777777" w:rsidR="00FD3A4F" w:rsidRPr="00283E81" w:rsidRDefault="00FD3A4F" w:rsidP="00FD3A4F">
      <w:pPr>
        <w:jc w:val="both"/>
        <w:rPr>
          <w:rFonts w:ascii="Garamond" w:hAnsi="Garamond" w:cs="Arial"/>
          <w:b/>
          <w:sz w:val="22"/>
          <w:szCs w:val="22"/>
        </w:rPr>
      </w:pPr>
    </w:p>
    <w:p w14:paraId="7A4AC126"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2.2 CÓDIGO CLASIFICADOR DE BIENES Y SERVICIOS UNSPSC</w:t>
      </w:r>
    </w:p>
    <w:p w14:paraId="20E0BB27" w14:textId="77777777" w:rsidR="00FD3A4F" w:rsidRPr="00283E81" w:rsidRDefault="00FD3A4F" w:rsidP="00FD3A4F">
      <w:pPr>
        <w:jc w:val="both"/>
        <w:rPr>
          <w:rFonts w:ascii="Garamond" w:hAnsi="Garamond" w:cs="Arial"/>
          <w:b/>
          <w:sz w:val="22"/>
          <w:szCs w:val="22"/>
        </w:rPr>
      </w:pPr>
    </w:p>
    <w:p w14:paraId="687893D1"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 xml:space="preserve">El objeto de este contrato está codificado en la clasificación que se describe a continuación: </w:t>
      </w:r>
    </w:p>
    <w:p w14:paraId="74CBB228" w14:textId="77777777" w:rsidR="00FD3A4F" w:rsidRPr="00283E81" w:rsidRDefault="00FD3A4F" w:rsidP="00FD3A4F">
      <w:pPr>
        <w:jc w:val="both"/>
        <w:rPr>
          <w:rFonts w:ascii="Garamond" w:hAnsi="Garamond" w:cs="Arial"/>
          <w:b/>
          <w:sz w:val="22"/>
          <w:szCs w:val="22"/>
        </w:rPr>
      </w:pPr>
    </w:p>
    <w:p w14:paraId="457EA4B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De conformidad con la Parte 2, Titulo 1, Capitulo 2, Sección 1, Subsección 5, Numeral 2 del Artículo 2.2.1.25.1 del Decreto 1082 de 2015, la descripción del objeto a contratar identificado con el tercer nivel de Clasificación UNSPSC, para cada uno de los componentes del proyecto, es la siguiente:</w:t>
      </w:r>
    </w:p>
    <w:p w14:paraId="2680CD0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491"/>
        <w:gridCol w:w="2424"/>
        <w:gridCol w:w="2499"/>
      </w:tblGrid>
      <w:tr w:rsidR="00FD3A4F" w:rsidRPr="00283E81" w14:paraId="29FBFD2C" w14:textId="77777777" w:rsidTr="007D062B">
        <w:trPr>
          <w:trHeight w:val="567"/>
        </w:trPr>
        <w:tc>
          <w:tcPr>
            <w:tcW w:w="1054" w:type="pct"/>
            <w:shd w:val="clear" w:color="auto" w:fill="F2F2F2"/>
            <w:tcMar>
              <w:top w:w="0" w:type="dxa"/>
              <w:left w:w="70" w:type="dxa"/>
              <w:bottom w:w="0" w:type="dxa"/>
              <w:right w:w="70" w:type="dxa"/>
            </w:tcMar>
            <w:vAlign w:val="center"/>
          </w:tcPr>
          <w:p w14:paraId="36465E42"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Clasificación UNSPSC</w:t>
            </w:r>
          </w:p>
        </w:tc>
        <w:tc>
          <w:tcPr>
            <w:tcW w:w="1326" w:type="pct"/>
            <w:shd w:val="clear" w:color="auto" w:fill="F2F2F2"/>
            <w:tcMar>
              <w:top w:w="0" w:type="dxa"/>
              <w:left w:w="70" w:type="dxa"/>
              <w:bottom w:w="0" w:type="dxa"/>
              <w:right w:w="70" w:type="dxa"/>
            </w:tcMar>
            <w:vAlign w:val="center"/>
          </w:tcPr>
          <w:p w14:paraId="449AE637"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Segmento</w:t>
            </w:r>
          </w:p>
        </w:tc>
        <w:tc>
          <w:tcPr>
            <w:tcW w:w="1290" w:type="pct"/>
            <w:shd w:val="clear" w:color="auto" w:fill="F2F2F2"/>
            <w:tcMar>
              <w:top w:w="0" w:type="dxa"/>
              <w:left w:w="70" w:type="dxa"/>
              <w:bottom w:w="0" w:type="dxa"/>
              <w:right w:w="70" w:type="dxa"/>
            </w:tcMar>
            <w:vAlign w:val="center"/>
          </w:tcPr>
          <w:p w14:paraId="057E9677"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Familia</w:t>
            </w:r>
          </w:p>
        </w:tc>
        <w:tc>
          <w:tcPr>
            <w:tcW w:w="1330" w:type="pct"/>
            <w:shd w:val="clear" w:color="auto" w:fill="F2F2F2"/>
            <w:tcMar>
              <w:top w:w="0" w:type="dxa"/>
              <w:left w:w="70" w:type="dxa"/>
              <w:bottom w:w="0" w:type="dxa"/>
              <w:right w:w="70" w:type="dxa"/>
            </w:tcMar>
            <w:vAlign w:val="center"/>
          </w:tcPr>
          <w:p w14:paraId="645EF579"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Clase</w:t>
            </w:r>
          </w:p>
        </w:tc>
      </w:tr>
      <w:tr w:rsidR="00FD3A4F" w:rsidRPr="00283E81" w14:paraId="5C111F2D"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32C4F22"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72101500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E4B680"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023A1C9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67FA18"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51F21C66"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50384FEF"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5F5B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343478F5"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 de apoyo a la construcción</w:t>
            </w:r>
          </w:p>
        </w:tc>
      </w:tr>
      <w:tr w:rsidR="00FD3A4F" w:rsidRPr="00283E81" w14:paraId="3C485CB0"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E5E8D4"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72102900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21BA92"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2AFF5DA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B90871"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5285AE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6D72B169"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0D0C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29</w:t>
            </w:r>
          </w:p>
          <w:p w14:paraId="6393E86C"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mantenimiento y reparación de instalaciones</w:t>
            </w:r>
          </w:p>
        </w:tc>
      </w:tr>
      <w:tr w:rsidR="00FD3A4F" w:rsidRPr="00283E81" w14:paraId="48B700A4"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F18A38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72103300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4658D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38CB386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 xml:space="preserve">Servicios de edificación, </w:t>
            </w:r>
            <w:r w:rsidRPr="00283E81">
              <w:rPr>
                <w:rFonts w:ascii="Garamond" w:hAnsi="Garamond"/>
                <w:sz w:val="22"/>
                <w:szCs w:val="22"/>
              </w:rPr>
              <w:lastRenderedPageBreak/>
              <w:t>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3F8A67"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10</w:t>
            </w:r>
          </w:p>
          <w:p w14:paraId="0BAD7A1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Servicios de mantenimiento y </w:t>
            </w:r>
            <w:r w:rsidRPr="00283E81">
              <w:rPr>
                <w:rFonts w:ascii="Garamond" w:hAnsi="Garamond"/>
                <w:color w:val="000000"/>
                <w:sz w:val="22"/>
                <w:szCs w:val="22"/>
              </w:rPr>
              <w:lastRenderedPageBreak/>
              <w:t>reparaciones de construcciones e</w:t>
            </w:r>
          </w:p>
          <w:p w14:paraId="1931BB0B"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E1640C"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33</w:t>
            </w:r>
          </w:p>
          <w:p w14:paraId="18C7EC0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 xml:space="preserve">Servicios de mantenimiento y </w:t>
            </w:r>
            <w:r w:rsidRPr="00283E81">
              <w:rPr>
                <w:rFonts w:ascii="Garamond" w:hAnsi="Garamond"/>
                <w:sz w:val="22"/>
                <w:szCs w:val="22"/>
              </w:rPr>
              <w:lastRenderedPageBreak/>
              <w:t>reparación de infraestructura</w:t>
            </w:r>
          </w:p>
        </w:tc>
      </w:tr>
      <w:tr w:rsidR="00FD3A4F" w:rsidRPr="00283E81" w14:paraId="6B8C5C68"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A07895"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lastRenderedPageBreak/>
              <w:t>81101500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3EC046"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463169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3866A4E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Administrativos</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D10A08"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27AC61F"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profesionales de ingeniería y</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B0F7EB5"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4C7CD1E0"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Ingeniería civil y arquitectura</w:t>
            </w:r>
          </w:p>
        </w:tc>
      </w:tr>
      <w:tr w:rsidR="00FD3A4F" w:rsidRPr="00283E81" w14:paraId="7CC5B07A"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2C2006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81101600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969515"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6E237C7"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7F827C0B"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Administrativos</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DDBF63"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15040984"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asesoría de gestión</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EDCA8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16</w:t>
            </w:r>
          </w:p>
          <w:p w14:paraId="7B801C2C"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Gerencia de proyectos</w:t>
            </w:r>
          </w:p>
        </w:tc>
      </w:tr>
    </w:tbl>
    <w:p w14:paraId="4710391F" w14:textId="77777777" w:rsidR="00FD3A4F" w:rsidRPr="00283E81" w:rsidRDefault="00FD3A4F" w:rsidP="00FD3A4F">
      <w:pPr>
        <w:jc w:val="both"/>
        <w:rPr>
          <w:rFonts w:ascii="Garamond" w:hAnsi="Garamond" w:cs="Arial"/>
          <w:b/>
          <w:sz w:val="22"/>
          <w:szCs w:val="22"/>
        </w:rPr>
      </w:pPr>
    </w:p>
    <w:p w14:paraId="546C3D64" w14:textId="77777777" w:rsidR="00FD3A4F" w:rsidRPr="00283E81" w:rsidRDefault="00FD3A4F" w:rsidP="00FD3A4F">
      <w:pPr>
        <w:jc w:val="both"/>
        <w:rPr>
          <w:rFonts w:ascii="Garamond" w:hAnsi="Garamond" w:cs="Arial"/>
          <w:b/>
          <w:sz w:val="22"/>
          <w:szCs w:val="22"/>
        </w:rPr>
      </w:pPr>
    </w:p>
    <w:p w14:paraId="577C0B14" w14:textId="77777777" w:rsidR="00FD3A4F" w:rsidRPr="00283E81" w:rsidRDefault="00FD3A4F" w:rsidP="00FD3A4F">
      <w:pPr>
        <w:jc w:val="both"/>
        <w:rPr>
          <w:rFonts w:ascii="Garamond" w:hAnsi="Garamond" w:cs="Arial"/>
          <w:sz w:val="22"/>
          <w:szCs w:val="22"/>
        </w:rPr>
      </w:pPr>
      <w:r w:rsidRPr="00283E81">
        <w:rPr>
          <w:rFonts w:ascii="Garamond" w:hAnsi="Garamond" w:cs="Arial"/>
          <w:b/>
          <w:sz w:val="22"/>
          <w:szCs w:val="22"/>
        </w:rPr>
        <w:t xml:space="preserve">2.3 ESPECIFICACIONES </w:t>
      </w:r>
    </w:p>
    <w:p w14:paraId="4CC1F1BB" w14:textId="77777777" w:rsidR="00FD3A4F" w:rsidRPr="00283E81" w:rsidRDefault="00FD3A4F" w:rsidP="00FD3A4F">
      <w:pPr>
        <w:jc w:val="both"/>
        <w:rPr>
          <w:rFonts w:ascii="Garamond" w:hAnsi="Garamond" w:cs="Arial"/>
          <w:sz w:val="22"/>
          <w:szCs w:val="22"/>
        </w:rPr>
      </w:pPr>
    </w:p>
    <w:p w14:paraId="47636940" w14:textId="77777777" w:rsidR="00FD3A4F" w:rsidRPr="00283E81" w:rsidRDefault="00FD3A4F" w:rsidP="00FD3A4F">
      <w:pPr>
        <w:widowControl/>
        <w:pBdr>
          <w:top w:val="nil"/>
          <w:left w:val="nil"/>
          <w:bottom w:val="nil"/>
          <w:right w:val="nil"/>
          <w:between w:val="nil"/>
        </w:pBdr>
        <w:suppressAutoHyphens w:val="0"/>
        <w:autoSpaceDN/>
        <w:ind w:left="258"/>
        <w:jc w:val="both"/>
        <w:textAlignment w:val="auto"/>
        <w:rPr>
          <w:rFonts w:ascii="Garamond" w:hAnsi="Garamond" w:cs="Times New Roman"/>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Los documentos técnicos para el desarrollo del proyecto se encuentran descritos en el </w:t>
      </w:r>
      <w:r w:rsidRPr="00283E81">
        <w:rPr>
          <w:rFonts w:ascii="Garamond" w:eastAsia="Garamond" w:hAnsi="Garamond" w:cs="Garamond"/>
          <w:b/>
          <w:color w:val="000000"/>
          <w:kern w:val="0"/>
          <w:sz w:val="22"/>
          <w:szCs w:val="22"/>
          <w:lang w:eastAsia="es-CO" w:bidi="ar-SA"/>
        </w:rPr>
        <w:t xml:space="preserve">ANEXO TÉCNICO GENERAL </w:t>
      </w:r>
      <w:r w:rsidRPr="00283E81">
        <w:rPr>
          <w:rFonts w:ascii="Garamond" w:eastAsia="Garamond" w:hAnsi="Garamond" w:cs="Garamond"/>
          <w:color w:val="000000"/>
          <w:kern w:val="0"/>
          <w:sz w:val="22"/>
          <w:szCs w:val="22"/>
          <w:lang w:eastAsia="es-CO" w:bidi="ar-SA"/>
        </w:rPr>
        <w:t>documento que forma parte integral del presente proceso de contratación.</w:t>
      </w:r>
    </w:p>
    <w:p w14:paraId="4BC99FA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10FFB17A"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Para efectos de propiciar espacios adecuados para las personas en condición de discapacidad adicionalmente el ejecutor deberá tener en cuenta la reglamentación en materia de accesibilidad universal contenida en las siguientes disposiciones en los casos de intervención de andenes: </w:t>
      </w:r>
    </w:p>
    <w:p w14:paraId="3C4851F0"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3D7C3C01"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Norma Técnica Colombiana 6047 Ley 1712 de 2014 </w:t>
      </w:r>
    </w:p>
    <w:p w14:paraId="6216C7B4"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Ley 1618 de 2013 </w:t>
      </w:r>
    </w:p>
    <w:p w14:paraId="1EF84053"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Decreto 561 de 2015 Cartilla de Espacio Público. </w:t>
      </w:r>
    </w:p>
    <w:p w14:paraId="34C87443"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9210C74"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El oferente con la presentación de la propuesta acepta las especificaciones técnicas requeridas por el </w:t>
      </w:r>
      <w:r w:rsidRPr="00283E81">
        <w:rPr>
          <w:rFonts w:ascii="Garamond" w:eastAsia="Garamond" w:hAnsi="Garamond" w:cs="Garamond"/>
          <w:b/>
          <w:color w:val="000000"/>
          <w:kern w:val="0"/>
          <w:sz w:val="22"/>
          <w:szCs w:val="22"/>
          <w:lang w:eastAsia="es-CO" w:bidi="ar-SA"/>
        </w:rPr>
        <w:t xml:space="preserve">FONDO DE DESARROLLO LOCAL DE FONTIBÓN </w:t>
      </w:r>
      <w:r w:rsidRPr="00283E81">
        <w:rPr>
          <w:rFonts w:ascii="Garamond" w:eastAsia="Garamond" w:hAnsi="Garamond" w:cs="Garamond"/>
          <w:bCs/>
          <w:color w:val="000000"/>
          <w:kern w:val="0"/>
          <w:sz w:val="22"/>
          <w:szCs w:val="22"/>
          <w:lang w:eastAsia="es-CO" w:bidi="ar-SA"/>
        </w:rPr>
        <w:t>de</w:t>
      </w:r>
      <w:r w:rsidRPr="00283E81">
        <w:rPr>
          <w:rFonts w:ascii="Garamond" w:eastAsia="Garamond" w:hAnsi="Garamond" w:cs="Garamond"/>
          <w:b/>
          <w:color w:val="000000"/>
          <w:kern w:val="0"/>
          <w:sz w:val="22"/>
          <w:szCs w:val="22"/>
          <w:lang w:eastAsia="es-CO" w:bidi="ar-SA"/>
        </w:rPr>
        <w:t xml:space="preserve"> </w:t>
      </w:r>
      <w:r w:rsidRPr="00283E81">
        <w:rPr>
          <w:rFonts w:ascii="Garamond" w:eastAsia="Garamond" w:hAnsi="Garamond" w:cs="Garamond"/>
          <w:color w:val="000000"/>
          <w:kern w:val="0"/>
          <w:sz w:val="22"/>
          <w:szCs w:val="22"/>
          <w:lang w:eastAsia="es-CO" w:bidi="ar-SA"/>
        </w:rPr>
        <w:t xml:space="preserve">acuerdo con las especificaciones contenidas en el pliego de condiciones y en </w:t>
      </w:r>
      <w:r w:rsidRPr="00283E81">
        <w:rPr>
          <w:rFonts w:ascii="Garamond" w:eastAsia="Garamond" w:hAnsi="Garamond" w:cs="Garamond"/>
          <w:b/>
          <w:color w:val="000000"/>
          <w:kern w:val="0"/>
          <w:sz w:val="22"/>
          <w:szCs w:val="22"/>
          <w:lang w:eastAsia="es-CO" w:bidi="ar-SA"/>
        </w:rPr>
        <w:t xml:space="preserve">EL ANEXO TÉCNICO GENERAL, </w:t>
      </w:r>
      <w:r w:rsidRPr="00283E81">
        <w:rPr>
          <w:rFonts w:ascii="Garamond" w:eastAsia="Garamond" w:hAnsi="Garamond" w:cs="Garamond"/>
          <w:color w:val="000000"/>
          <w:kern w:val="0"/>
          <w:sz w:val="22"/>
          <w:szCs w:val="22"/>
          <w:lang w:eastAsia="es-CO" w:bidi="ar-SA"/>
        </w:rPr>
        <w:t>que forman parte integral del presente pliego. Esta aceptación se entenderá formalizada con la suscripción de la carta de presentación de la propuesta. </w:t>
      </w:r>
    </w:p>
    <w:p w14:paraId="53E77703"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71CD82C2"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Las actividades para ejecutar durante el desarrollo del presente proceso tienen como enfoque el </w:t>
      </w:r>
      <w:r w:rsidRPr="00283E81">
        <w:rPr>
          <w:rFonts w:ascii="Garamond" w:eastAsia="Garamond" w:hAnsi="Garamond" w:cs="Garamond"/>
          <w:b/>
          <w:color w:val="000000"/>
          <w:kern w:val="0"/>
          <w:sz w:val="22"/>
          <w:szCs w:val="22"/>
          <w:lang w:eastAsia="es-CO" w:bidi="ar-SA"/>
        </w:rPr>
        <w:t xml:space="preserve">MANTENIMIENTO </w:t>
      </w:r>
      <w:r w:rsidRPr="00283E81">
        <w:rPr>
          <w:rFonts w:ascii="Garamond" w:eastAsia="Garamond" w:hAnsi="Garamond" w:cs="Garamond"/>
          <w:bCs/>
          <w:color w:val="000000"/>
          <w:kern w:val="0"/>
          <w:sz w:val="22"/>
          <w:szCs w:val="22"/>
          <w:lang w:eastAsia="es-CO" w:bidi="ar-SA"/>
        </w:rPr>
        <w:t xml:space="preserve">de </w:t>
      </w:r>
      <w:r w:rsidRPr="00283E81">
        <w:rPr>
          <w:rFonts w:ascii="Garamond" w:eastAsia="Garamond" w:hAnsi="Garamond" w:cs="Garamond"/>
          <w:color w:val="000000"/>
          <w:kern w:val="0"/>
          <w:sz w:val="22"/>
          <w:szCs w:val="22"/>
          <w:lang w:eastAsia="es-CO" w:bidi="ar-SA"/>
        </w:rPr>
        <w:t>la sede administrativa en mención de la localidad de Fontibón, las cuales corresponden a lo siguiente: </w:t>
      </w:r>
    </w:p>
    <w:p w14:paraId="741E300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526725C"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lastRenderedPageBreak/>
        <w:t>Diagnósticos de la infraestructura de la Sede de la Alcaldía Local de Fontibón.</w:t>
      </w:r>
    </w:p>
    <w:p w14:paraId="6EFE153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Diagnóstico y generación de planos récord de la sede de la alcaldía local de Fontibón.</w:t>
      </w:r>
    </w:p>
    <w:p w14:paraId="2480474E"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Presupuesto y programación de obra incluye memorias de cantidades de obra Listado de: Insumos, Maquinaria y Equipo, Mano de obra, incluye especificaciones técnicas de obras nuevas adecuaciones y mantenimiento, Elaboración de plan de costos y mantenimientos preventivos.</w:t>
      </w:r>
    </w:p>
    <w:p w14:paraId="683C45E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De Espacios Del Auditorio</w:t>
      </w:r>
    </w:p>
    <w:p w14:paraId="6B520B66"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Diseño y Remodelación Accesibilidad Alcaldía, Módulo Atención Al Ciudadano Y Adecuación Recepción</w:t>
      </w:r>
    </w:p>
    <w:p w14:paraId="458C448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diseño de Batería De Baños Para Personas Con Discapacidad Y Atención A La Comunidad</w:t>
      </w:r>
    </w:p>
    <w:p w14:paraId="312D2431"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Baño Con Ducha Para Bici usuarios</w:t>
      </w:r>
    </w:p>
    <w:p w14:paraId="2BD23409"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De Divisiones De Oficinas</w:t>
      </w:r>
    </w:p>
    <w:p w14:paraId="3A22F4A4"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Diagnostico Mantenimiento Cambio Y Reparación De Redes Del Sistema De Red Contra Incendios.</w:t>
      </w:r>
    </w:p>
    <w:p w14:paraId="6A101A55"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Instalación De Elementos De Seguridad</w:t>
      </w:r>
    </w:p>
    <w:p w14:paraId="06CF1828"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Diagnostico Mantenimiento Y Cambio De Miples Y Reparación De Baterías De Baños y </w:t>
      </w:r>
      <w:proofErr w:type="spellStart"/>
      <w:r w:rsidRPr="00283E81">
        <w:rPr>
          <w:rFonts w:ascii="Garamond" w:eastAsia="Garamond" w:hAnsi="Garamond" w:cs="Garamond"/>
          <w:color w:val="000000"/>
          <w:kern w:val="0"/>
          <w:sz w:val="22"/>
          <w:szCs w:val="22"/>
          <w:lang w:eastAsia="es-CO" w:bidi="ar-SA"/>
        </w:rPr>
        <w:t>reventilación</w:t>
      </w:r>
      <w:proofErr w:type="spellEnd"/>
      <w:r w:rsidRPr="00283E81">
        <w:rPr>
          <w:rFonts w:ascii="Garamond" w:eastAsia="Garamond" w:hAnsi="Garamond" w:cs="Garamond"/>
          <w:color w:val="000000"/>
          <w:kern w:val="0"/>
          <w:sz w:val="22"/>
          <w:szCs w:val="22"/>
          <w:lang w:eastAsia="es-CO" w:bidi="ar-SA"/>
        </w:rPr>
        <w:t xml:space="preserve"> De Baños</w:t>
      </w:r>
    </w:p>
    <w:p w14:paraId="51DE71E0"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Mantenimiento de bombas hidráulicas</w:t>
      </w:r>
    </w:p>
    <w:p w14:paraId="5DC372D1"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Las demás actividades que se encuentren necesarias a ejecutar una vez se ejecuté el diagnostico integral de la sede.</w:t>
      </w:r>
    </w:p>
    <w:p w14:paraId="2E18B0F7"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449C2EF"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Para determinar los valores de las actividades no previstas en el presupuesto que se presenten durante el desarrollo y ejecución de las obras y no se encuentren en la canasta de precios, se realizarán 3 cotizaciones, una presentada por el contratista ejecutor, y dos por el supervisor del FDLF, se promediarán y se obtendrá en valor del ítem no previsto, previa aprobación de la </w:t>
      </w:r>
      <w:r w:rsidRPr="00283E81">
        <w:rPr>
          <w:rFonts w:ascii="Garamond" w:eastAsia="Garamond" w:hAnsi="Garamond" w:cs="Garamond"/>
          <w:kern w:val="0"/>
          <w:sz w:val="22"/>
          <w:szCs w:val="22"/>
          <w:lang w:eastAsia="es-CO" w:bidi="ar-SA"/>
        </w:rPr>
        <w:t>supervisión del FDLF</w:t>
      </w:r>
      <w:r w:rsidRPr="00283E81">
        <w:rPr>
          <w:rFonts w:ascii="Garamond" w:eastAsia="Garamond" w:hAnsi="Garamond" w:cs="Garamond"/>
          <w:color w:val="000000"/>
          <w:kern w:val="0"/>
          <w:sz w:val="22"/>
          <w:szCs w:val="22"/>
          <w:lang w:eastAsia="es-CO" w:bidi="ar-SA"/>
        </w:rPr>
        <w:t xml:space="preserve">, el contratista remitirá la recomendación de aprobación de los análisis de precios unitarios - </w:t>
      </w:r>
      <w:proofErr w:type="spellStart"/>
      <w:r w:rsidRPr="00283E81">
        <w:rPr>
          <w:rFonts w:ascii="Garamond" w:eastAsia="Garamond" w:hAnsi="Garamond" w:cs="Garamond"/>
          <w:color w:val="000000"/>
          <w:kern w:val="0"/>
          <w:sz w:val="22"/>
          <w:szCs w:val="22"/>
          <w:lang w:eastAsia="es-CO" w:bidi="ar-SA"/>
        </w:rPr>
        <w:t>APUs</w:t>
      </w:r>
      <w:proofErr w:type="spellEnd"/>
      <w:r w:rsidRPr="00283E81">
        <w:rPr>
          <w:rFonts w:ascii="Garamond" w:eastAsia="Garamond" w:hAnsi="Garamond" w:cs="Garamond"/>
          <w:color w:val="000000"/>
          <w:kern w:val="0"/>
          <w:sz w:val="22"/>
          <w:szCs w:val="22"/>
          <w:lang w:eastAsia="es-CO" w:bidi="ar-SA"/>
        </w:rPr>
        <w:t xml:space="preserve"> al Fondo de Desarrollo Local de Fontibón, radicado adjuntado un balance del contrato con las cantidades y obras compensadas.</w:t>
      </w:r>
    </w:p>
    <w:p w14:paraId="1CC7FE14"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3F6B0208"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Para el caso de los ítems que no se encuentran cotizados y que requieren intervención dentro del contrato, según el resultado de los diagnósticos efectuados a la luz de este contrato, se tomará como referencia el valor promedio de las 2 canastas referenciadas.</w:t>
      </w:r>
    </w:p>
    <w:p w14:paraId="0739D2AA"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50536A7F" w14:textId="77777777" w:rsidR="00FD3A4F" w:rsidRPr="00283E81" w:rsidRDefault="00FD3A4F" w:rsidP="003400E2">
      <w:pPr>
        <w:numPr>
          <w:ilvl w:val="2"/>
          <w:numId w:val="21"/>
        </w:numPr>
        <w:suppressAutoHyphens w:val="0"/>
        <w:autoSpaceDN/>
        <w:spacing w:before="60" w:line="276" w:lineRule="auto"/>
        <w:jc w:val="both"/>
        <w:textAlignment w:val="auto"/>
        <w:outlineLvl w:val="2"/>
        <w:rPr>
          <w:rFonts w:ascii="Garamond" w:eastAsia="Garamond" w:hAnsi="Garamond" w:cs="Garamond"/>
          <w:b/>
          <w:kern w:val="0"/>
          <w:sz w:val="22"/>
          <w:szCs w:val="22"/>
          <w:lang w:eastAsia="es-CO" w:bidi="ar-SA"/>
        </w:rPr>
      </w:pPr>
      <w:bookmarkStart w:id="5" w:name="_heading=h.xk4wh78i6kts" w:colFirst="0" w:colLast="0"/>
      <w:bookmarkEnd w:id="5"/>
      <w:r w:rsidRPr="00283E81">
        <w:rPr>
          <w:rFonts w:ascii="Garamond" w:eastAsia="Garamond" w:hAnsi="Garamond" w:cs="Garamond"/>
          <w:b/>
          <w:kern w:val="0"/>
          <w:sz w:val="22"/>
          <w:szCs w:val="22"/>
          <w:lang w:eastAsia="es-CO" w:bidi="ar-SA"/>
        </w:rPr>
        <w:t>FLUJO DE INVERSIÓN DE LOS RECURSOS CONTRATOS</w:t>
      </w:r>
    </w:p>
    <w:p w14:paraId="2B296075" w14:textId="77777777" w:rsidR="00FD3A4F" w:rsidRPr="00283E81" w:rsidRDefault="00FD3A4F" w:rsidP="00FD3A4F">
      <w:pPr>
        <w:suppressAutoHyphens w:val="0"/>
        <w:autoSpaceDN/>
        <w:spacing w:before="60" w:line="276" w:lineRule="auto"/>
        <w:ind w:left="733"/>
        <w:jc w:val="both"/>
        <w:textAlignment w:val="auto"/>
        <w:outlineLvl w:val="2"/>
        <w:rPr>
          <w:rFonts w:ascii="Garamond" w:eastAsia="Garamond" w:hAnsi="Garamond" w:cs="Garamond"/>
          <w:b/>
          <w:kern w:val="0"/>
          <w:sz w:val="22"/>
          <w:szCs w:val="22"/>
          <w:lang w:eastAsia="es-CO" w:bidi="ar-SA"/>
        </w:rPr>
      </w:pPr>
    </w:p>
    <w:p w14:paraId="6D662591"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El Contratista deberá presentar el flujo de inversión del contrato, expresado en pesos conforme a la propuesta </w:t>
      </w:r>
      <w:r w:rsidRPr="00283E81">
        <w:rPr>
          <w:rFonts w:ascii="Garamond" w:eastAsia="Garamond" w:hAnsi="Garamond" w:cs="Garamond"/>
          <w:color w:val="000000"/>
          <w:kern w:val="0"/>
          <w:sz w:val="22"/>
          <w:szCs w:val="22"/>
          <w:lang w:eastAsia="es-CO" w:bidi="ar-SA"/>
        </w:rPr>
        <w:lastRenderedPageBreak/>
        <w:t>económica. La presentación del flujo de inversión de los recursos del contrato.</w:t>
      </w:r>
    </w:p>
    <w:p w14:paraId="02BC2D4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822C61B" w14:textId="77777777" w:rsidR="00FD3A4F" w:rsidRPr="00283E81" w:rsidRDefault="00FD3A4F" w:rsidP="003400E2">
      <w:pPr>
        <w:numPr>
          <w:ilvl w:val="2"/>
          <w:numId w:val="21"/>
        </w:numPr>
        <w:suppressAutoHyphens w:val="0"/>
        <w:autoSpaceDN/>
        <w:spacing w:before="60" w:line="276" w:lineRule="auto"/>
        <w:jc w:val="both"/>
        <w:textAlignment w:val="auto"/>
        <w:outlineLvl w:val="2"/>
        <w:rPr>
          <w:rFonts w:ascii="Garamond" w:eastAsia="Garamond" w:hAnsi="Garamond" w:cs="Garamond"/>
          <w:b/>
          <w:kern w:val="0"/>
          <w:sz w:val="22"/>
          <w:szCs w:val="22"/>
          <w:lang w:eastAsia="es-CO" w:bidi="ar-SA"/>
        </w:rPr>
      </w:pPr>
      <w:bookmarkStart w:id="6" w:name="_heading=h.ghww0ljhea89" w:colFirst="0" w:colLast="0"/>
      <w:bookmarkEnd w:id="6"/>
      <w:r w:rsidRPr="00283E81">
        <w:rPr>
          <w:rFonts w:ascii="Garamond" w:eastAsia="Garamond" w:hAnsi="Garamond" w:cs="Garamond"/>
          <w:b/>
          <w:kern w:val="0"/>
          <w:sz w:val="22"/>
          <w:szCs w:val="22"/>
          <w:lang w:eastAsia="es-CO" w:bidi="ar-SA"/>
        </w:rPr>
        <w:t>ESPECIFICACIONES TÉCNICAS AMBIENTALES</w:t>
      </w:r>
    </w:p>
    <w:p w14:paraId="3916B933" w14:textId="77777777" w:rsidR="00FD3A4F" w:rsidRPr="00283E81" w:rsidRDefault="00FD3A4F" w:rsidP="00FD3A4F">
      <w:pPr>
        <w:suppressAutoHyphens w:val="0"/>
        <w:autoSpaceDN/>
        <w:spacing w:before="60" w:line="276" w:lineRule="auto"/>
        <w:ind w:left="733"/>
        <w:jc w:val="both"/>
        <w:textAlignment w:val="auto"/>
        <w:outlineLvl w:val="2"/>
        <w:rPr>
          <w:rFonts w:ascii="Garamond" w:eastAsia="Garamond" w:hAnsi="Garamond" w:cs="Garamond"/>
          <w:b/>
          <w:kern w:val="0"/>
          <w:sz w:val="22"/>
          <w:szCs w:val="22"/>
          <w:lang w:eastAsia="es-CO" w:bidi="ar-SA"/>
        </w:rPr>
      </w:pPr>
    </w:p>
    <w:p w14:paraId="37CBBD9F"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Con el fin de formar y mantener el conocimiento y la convicción suficientes sobre la necesidad de proteger el ambiente y de manejar bien los recursos naturales, el contratista se compromete con el Fondo de Desarrollo Local de Fontibón, a dar estricto cumplimiento a lo establecido en la Guía de compras Públicas Sostenibles del Ministerio de Ambiente y Desarrollo Sostenible y Guía de Contratación Sostenible (ver guía de contratación sostenible GCO-GCT-IN001) expedido por la Secretaria Distrital de Gobierno de Bogotá, vigente desde el 18 de enero de 2022, la Ficha de Contratación Sostenible No. 12 V-04 vigente desde el 18 de enero de 2022 "Diseño, construcción, remodelación, demolición, mantenimiento preventive, correctivo y de mejorar de las instalaciones de la Secretaria, Alcaldías e proyecto, obra o actividad de las localidades" para la Política Ambiental y a la reducción de la 0 contaminación.</w:t>
      </w:r>
    </w:p>
    <w:p w14:paraId="1E366118" w14:textId="77777777" w:rsidR="00FD3A4F" w:rsidRPr="00283E81" w:rsidRDefault="00FD3A4F" w:rsidP="00FD3A4F">
      <w:pPr>
        <w:jc w:val="both"/>
        <w:rPr>
          <w:rFonts w:ascii="Garamond" w:hAnsi="Garamond" w:cs="Arial"/>
          <w:color w:val="A6A6A6"/>
          <w:sz w:val="22"/>
          <w:szCs w:val="22"/>
        </w:rPr>
      </w:pPr>
    </w:p>
    <w:p w14:paraId="27379183"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2.4 IDENTIFICACIÓN DEL CONTRATO A CELEBRAR</w:t>
      </w:r>
      <w:r w:rsidRPr="00283E81">
        <w:rPr>
          <w:rFonts w:ascii="Garamond" w:hAnsi="Garamond" w:cs="Arial"/>
          <w:color w:val="A6A6A6"/>
          <w:sz w:val="22"/>
          <w:szCs w:val="22"/>
        </w:rPr>
        <w:t>.</w:t>
      </w:r>
    </w:p>
    <w:p w14:paraId="19D6267C" w14:textId="77777777" w:rsidR="00FD3A4F" w:rsidRPr="00283E81" w:rsidRDefault="00FD3A4F" w:rsidP="00FD3A4F">
      <w:pPr>
        <w:jc w:val="both"/>
        <w:rPr>
          <w:rFonts w:ascii="Garamond" w:hAnsi="Garamond" w:cs="Arial"/>
          <w:b/>
          <w:sz w:val="22"/>
          <w:szCs w:val="22"/>
        </w:rPr>
      </w:pPr>
    </w:p>
    <w:p w14:paraId="478F18FF" w14:textId="77777777" w:rsidR="00FD3A4F" w:rsidRPr="00283E81" w:rsidRDefault="00FD3A4F" w:rsidP="00FD3A4F">
      <w:pPr>
        <w:suppressAutoHyphens w:val="0"/>
        <w:autoSpaceDN/>
        <w:spacing w:before="60" w:line="276" w:lineRule="auto"/>
        <w:ind w:left="602"/>
        <w:jc w:val="both"/>
        <w:textAlignment w:val="auto"/>
        <w:outlineLvl w:val="2"/>
        <w:rPr>
          <w:rFonts w:ascii="Garamond" w:eastAsia="Garamond" w:hAnsi="Garamond" w:cs="Garamond"/>
          <w:kern w:val="0"/>
          <w:sz w:val="22"/>
          <w:szCs w:val="22"/>
          <w:lang w:eastAsia="es-CO" w:bidi="ar-SA"/>
        </w:rPr>
      </w:pPr>
      <w:r w:rsidRPr="00283E81">
        <w:rPr>
          <w:rFonts w:ascii="Garamond" w:eastAsia="Garamond" w:hAnsi="Garamond" w:cs="Garamond"/>
          <w:kern w:val="0"/>
          <w:sz w:val="22"/>
          <w:szCs w:val="22"/>
          <w:lang w:eastAsia="es-CO" w:bidi="ar-SA"/>
        </w:rPr>
        <w:t>El contrato que surja del presente proceso de selección corresponde CONTRATO DE OBRA PÚBLICA regulado por Ley 80 de 1993, que en su inciso primero del numeral 1o del artículo 32 señala que “Son contratos de obra los que celebren las entidades estatales para la construcción, mantenimiento, instalación y, en general, para la realización de cualquier otro trabajo material sobre bienes inmuebles, cualquiera que sea la modalidad de ejecución y pago (…)” y,  la Ley 1150 de 2007 y demás normas que las modifiquen, adicionen o deroguen y en las materias no reguladas en dichas leyes a las disposiciones civiles y comerciales.</w:t>
      </w:r>
    </w:p>
    <w:p w14:paraId="7B5136A7" w14:textId="77777777" w:rsidR="00F768D0" w:rsidRPr="00283E81" w:rsidRDefault="00F768D0" w:rsidP="00F768D0">
      <w:pPr>
        <w:pStyle w:val="Standard"/>
        <w:jc w:val="both"/>
        <w:rPr>
          <w:rFonts w:ascii="Garamond" w:hAnsi="Garamond" w:cs="Arial"/>
          <w:sz w:val="22"/>
          <w:szCs w:val="2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283E81" w14:paraId="2B5095B1" w14:textId="77777777" w:rsidTr="002F4178">
        <w:trPr>
          <w:jc w:val="center"/>
        </w:trPr>
        <w:tc>
          <w:tcPr>
            <w:tcW w:w="9356" w:type="dxa"/>
            <w:shd w:val="clear" w:color="auto" w:fill="D9D9D9"/>
          </w:tcPr>
          <w:p w14:paraId="75AA8F83" w14:textId="77777777" w:rsidR="00F768D0" w:rsidRPr="00283E81" w:rsidRDefault="00F768D0" w:rsidP="002F4178">
            <w:pPr>
              <w:pStyle w:val="Standard"/>
              <w:jc w:val="both"/>
              <w:rPr>
                <w:rFonts w:ascii="Garamond" w:hAnsi="Garamond" w:cs="Arial"/>
                <w:b/>
                <w:sz w:val="22"/>
                <w:szCs w:val="22"/>
              </w:rPr>
            </w:pPr>
            <w:bookmarkStart w:id="7" w:name="_Hlk79056534"/>
            <w:r w:rsidRPr="00283E81">
              <w:rPr>
                <w:rFonts w:ascii="Garamond" w:hAnsi="Garamond" w:cs="Arial"/>
                <w:b/>
                <w:sz w:val="22"/>
                <w:szCs w:val="22"/>
              </w:rPr>
              <w:t>3. MODALIDAD DE SELECCIÓN DEL CONTRATISTA Y SU JUSTIFICACIÓN, INCLUYENDO LOS FUNDAMENTOS JURÍDICOS.</w:t>
            </w:r>
          </w:p>
        </w:tc>
      </w:tr>
      <w:bookmarkEnd w:id="7"/>
    </w:tbl>
    <w:p w14:paraId="4D8B7FF1" w14:textId="77777777" w:rsidR="00F768D0" w:rsidRPr="00283E81" w:rsidRDefault="00F768D0" w:rsidP="00F768D0">
      <w:pPr>
        <w:pStyle w:val="Standard"/>
        <w:jc w:val="both"/>
        <w:rPr>
          <w:rFonts w:ascii="Garamond" w:hAnsi="Garamond" w:cs="Arial"/>
          <w:sz w:val="22"/>
          <w:szCs w:val="22"/>
        </w:rPr>
      </w:pPr>
    </w:p>
    <w:p w14:paraId="08531CCA" w14:textId="71100AF0" w:rsidR="00FD3A4F"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La modalidad de selección pertinente para esta contratación corresponde a </w:t>
      </w:r>
      <w:r w:rsidRPr="00283E81">
        <w:rPr>
          <w:rFonts w:ascii="Garamond" w:eastAsia="Garamond" w:hAnsi="Garamond" w:cs="Garamond"/>
          <w:b/>
          <w:kern w:val="0"/>
          <w:sz w:val="22"/>
          <w:szCs w:val="22"/>
          <w:lang w:eastAsia="es-CO" w:bidi="ar-SA"/>
        </w:rPr>
        <w:t xml:space="preserve">SELECCIÓN ABREVIADA DE MENOR CUANTÍA </w:t>
      </w:r>
      <w:r w:rsidRPr="00283E81">
        <w:rPr>
          <w:rFonts w:ascii="Garamond" w:eastAsia="Garamond" w:hAnsi="Garamond" w:cs="Garamond"/>
          <w:color w:val="000000"/>
          <w:kern w:val="0"/>
          <w:sz w:val="22"/>
          <w:szCs w:val="22"/>
          <w:lang w:eastAsia="es-CO" w:bidi="ar-SA"/>
        </w:rPr>
        <w:t xml:space="preserve">de conformidad con el artículo 30 de la Ley 80 de 1993 y el </w:t>
      </w:r>
      <w:r w:rsidR="008B2E70" w:rsidRPr="00283E81">
        <w:rPr>
          <w:rFonts w:ascii="Garamond" w:eastAsia="Garamond" w:hAnsi="Garamond" w:cs="Garamond"/>
          <w:color w:val="000000"/>
          <w:kern w:val="0"/>
          <w:sz w:val="22"/>
          <w:szCs w:val="22"/>
          <w:lang w:eastAsia="es-CO" w:bidi="ar-SA"/>
        </w:rPr>
        <w:t xml:space="preserve">literal b </w:t>
      </w:r>
      <w:r w:rsidRPr="00283E81">
        <w:rPr>
          <w:rFonts w:ascii="Garamond" w:eastAsia="Garamond" w:hAnsi="Garamond" w:cs="Garamond"/>
          <w:color w:val="000000"/>
          <w:kern w:val="0"/>
          <w:sz w:val="22"/>
          <w:szCs w:val="22"/>
          <w:lang w:eastAsia="es-CO" w:bidi="ar-SA"/>
        </w:rPr>
        <w:t>del</w:t>
      </w:r>
      <w:r w:rsidR="00D806A3" w:rsidRPr="00283E81">
        <w:rPr>
          <w:rFonts w:ascii="Garamond" w:eastAsia="Garamond" w:hAnsi="Garamond" w:cs="Garamond"/>
          <w:color w:val="000000"/>
          <w:kern w:val="0"/>
          <w:sz w:val="22"/>
          <w:szCs w:val="22"/>
          <w:lang w:eastAsia="es-CO" w:bidi="ar-SA"/>
        </w:rPr>
        <w:t xml:space="preserve"> numeral 2 del</w:t>
      </w:r>
      <w:r w:rsidRPr="00283E81">
        <w:rPr>
          <w:rFonts w:ascii="Garamond" w:eastAsia="Garamond" w:hAnsi="Garamond" w:cs="Garamond"/>
          <w:color w:val="000000"/>
          <w:kern w:val="0"/>
          <w:sz w:val="22"/>
          <w:szCs w:val="22"/>
          <w:lang w:eastAsia="es-CO" w:bidi="ar-SA"/>
        </w:rPr>
        <w:t xml:space="preserve"> artículo 2 de la Ley 1150 de 2007 en concordancia con lo descrito en el Decreto 1082 de 2015.</w:t>
      </w:r>
    </w:p>
    <w:p w14:paraId="77841B31" w14:textId="77777777" w:rsidR="00FD3A4F"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6BDF01F2" w14:textId="4DCC9388" w:rsidR="00F768D0"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De conformidad con lo establecido en la norma referida el presente proceso de contratación se justifica en atención al objeto a contratar y al valor del presupuesto oficial.</w:t>
      </w:r>
    </w:p>
    <w:p w14:paraId="2FA9A137"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009B86C"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 xml:space="preserve">De acuerdo con lo establecido en el Artículo 2.2.1.2.1.2. del Decreto 1082 de 2015, la modalidad de Selección Abreviada de Menor Cuantía aplica para la adquisición de bienes, obras o servicios cuyo valor no exceda la </w:t>
      </w:r>
      <w:r w:rsidRPr="00283E81">
        <w:rPr>
          <w:rFonts w:ascii="Garamond" w:eastAsia="Garamond" w:hAnsi="Garamond" w:cs="Garamond"/>
          <w:color w:val="000000"/>
          <w:kern w:val="0"/>
          <w:sz w:val="22"/>
          <w:szCs w:val="22"/>
          <w:lang w:val="es-419" w:eastAsia="es-CO" w:bidi="ar-SA"/>
        </w:rPr>
        <w:lastRenderedPageBreak/>
        <w:t>menor cuantía definida por la entidad contratante, en concordancia con lo dispuesto en el Artículo 94 de la Ley 1474 de 2011 y el Artículo 2 de la Ley 1150 de 2007.</w:t>
      </w:r>
    </w:p>
    <w:p w14:paraId="667C380A"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4FF4E5CB" w14:textId="76B3145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El valor del contrato es de</w:t>
      </w:r>
      <w:r w:rsidR="004F4BA7" w:rsidRPr="00283E81">
        <w:rPr>
          <w:rFonts w:ascii="Garamond" w:hAnsi="Garamond"/>
          <w:b/>
          <w:bCs/>
          <w:sz w:val="22"/>
          <w:szCs w:val="22"/>
        </w:rPr>
        <w:t xml:space="preserve"> TRESCIENTOS NOVENTA Y SIETE MILLONES</w:t>
      </w:r>
      <w:r w:rsidR="004F4BA7" w:rsidRPr="00283E81">
        <w:rPr>
          <w:rFonts w:ascii="Garamond" w:hAnsi="Garamond"/>
          <w:b/>
          <w:bCs/>
          <w:color w:val="000000" w:themeColor="text1"/>
          <w:sz w:val="22"/>
          <w:szCs w:val="22"/>
        </w:rPr>
        <w:t xml:space="preserve"> OCHOCIENTOS MIL QUINIENTOS DOS PESOS M/CTE ($</w:t>
      </w:r>
      <w:r w:rsidR="004F4BA7" w:rsidRPr="00283E81">
        <w:rPr>
          <w:rFonts w:ascii="Garamond" w:hAnsi="Garamond"/>
          <w:b/>
          <w:bCs/>
          <w:sz w:val="22"/>
          <w:szCs w:val="22"/>
        </w:rPr>
        <w:t>397</w:t>
      </w:r>
      <w:r w:rsidR="004F4BA7" w:rsidRPr="00283E81">
        <w:rPr>
          <w:rFonts w:ascii="Garamond" w:hAnsi="Garamond"/>
          <w:b/>
          <w:bCs/>
          <w:color w:val="000000" w:themeColor="text1"/>
          <w:sz w:val="22"/>
          <w:szCs w:val="22"/>
        </w:rPr>
        <w:t>.800.502)</w:t>
      </w:r>
      <w:r w:rsidRPr="00283E81">
        <w:rPr>
          <w:rFonts w:ascii="Garamond" w:eastAsia="Garamond" w:hAnsi="Garamond" w:cs="Garamond"/>
          <w:color w:val="000000"/>
          <w:kern w:val="0"/>
          <w:sz w:val="22"/>
          <w:szCs w:val="22"/>
          <w:lang w:val="es-419" w:eastAsia="es-CO" w:bidi="ar-SA"/>
        </w:rPr>
        <w:t>, cifra que se encuentra dentro del rango establecido para la aplicación de esta modalidad según los límites de menor cuantía determinados por la Alcaldía Local de Fontibón, conforme a su presupuesto anual y a las normas de contratación vigentes.</w:t>
      </w:r>
    </w:p>
    <w:p w14:paraId="07E0C44F"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01207F6E"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La selección abreviada de menor cuantía permite garantizar los principios de transparencia, economía y eficiencia en la gestión contractual, facilitando un proceso competitivo entre oferentes que cumplan con los requisitos técnicos, financieros y jurídicos exigidos, asegurando la selección objetiva de la propuesta más favorable para la administración.</w:t>
      </w:r>
    </w:p>
    <w:p w14:paraId="7650D75E"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56C55AE7"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Asimismo, la utilización del sistema de precios unitarios fijos a monto agotable resulta adecuada para este tipo de contrato, dado que las actividades de mantenimiento y reparación locativa pueden variar en cantidad y alcance durante la ejecución, sin alterar las condiciones unitarias del contrato, lo cual otorga flexibilidad técnica y control presupuestal al proceso.</w:t>
      </w:r>
    </w:p>
    <w:p w14:paraId="196D97C1"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BF68AB8"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5E48EBA6" w14:textId="77777777" w:rsidTr="002F4178">
        <w:trPr>
          <w:jc w:val="center"/>
        </w:trPr>
        <w:tc>
          <w:tcPr>
            <w:tcW w:w="9498" w:type="dxa"/>
            <w:shd w:val="clear" w:color="auto" w:fill="D9D9D9"/>
          </w:tcPr>
          <w:p w14:paraId="655A8FBB" w14:textId="77777777" w:rsidR="00F768D0" w:rsidRPr="00283E81" w:rsidRDefault="00F768D0" w:rsidP="002F4178">
            <w:pPr>
              <w:pStyle w:val="Standard"/>
              <w:jc w:val="both"/>
              <w:rPr>
                <w:rFonts w:ascii="Garamond" w:hAnsi="Garamond" w:cs="Arial"/>
                <w:b/>
                <w:sz w:val="22"/>
                <w:szCs w:val="22"/>
              </w:rPr>
            </w:pPr>
            <w:bookmarkStart w:id="8" w:name="_Hlk79056870"/>
            <w:r w:rsidRPr="00283E81">
              <w:rPr>
                <w:rFonts w:ascii="Garamond" w:hAnsi="Garamond" w:cs="Arial"/>
                <w:b/>
                <w:sz w:val="22"/>
                <w:szCs w:val="22"/>
              </w:rPr>
              <w:t>4. PRESUPUESTO OFICIAL Y SU JUSTIFICACIÓN, VARIABLES UTILIZADAS Y RUBROS QUE LO COMPONEN.</w:t>
            </w:r>
          </w:p>
        </w:tc>
      </w:tr>
      <w:bookmarkEnd w:id="8"/>
    </w:tbl>
    <w:p w14:paraId="2E851CAB" w14:textId="77777777" w:rsidR="00F768D0" w:rsidRPr="00283E81" w:rsidRDefault="00F768D0" w:rsidP="00F768D0">
      <w:pPr>
        <w:pStyle w:val="Standard"/>
        <w:jc w:val="both"/>
        <w:rPr>
          <w:rFonts w:ascii="Garamond" w:hAnsi="Garamond" w:cs="Arial"/>
          <w:sz w:val="22"/>
          <w:szCs w:val="22"/>
          <w:lang w:val="es-MX"/>
        </w:rPr>
      </w:pPr>
    </w:p>
    <w:p w14:paraId="5F669A8A" w14:textId="53FCEAB3"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themeColor="text1"/>
          <w:sz w:val="22"/>
          <w:szCs w:val="22"/>
        </w:rPr>
        <w:t xml:space="preserve">El presupuesto oficial se estima en la suma de </w:t>
      </w:r>
      <w:r w:rsidRPr="00283E81">
        <w:rPr>
          <w:rFonts w:ascii="Garamond" w:hAnsi="Garamond"/>
          <w:b/>
          <w:bCs/>
          <w:sz w:val="22"/>
          <w:szCs w:val="22"/>
        </w:rPr>
        <w:t>TRESCIENTOS NOVENTA</w:t>
      </w:r>
      <w:r w:rsidR="03F10D69" w:rsidRPr="00283E81">
        <w:rPr>
          <w:rFonts w:ascii="Garamond" w:hAnsi="Garamond"/>
          <w:b/>
          <w:bCs/>
          <w:sz w:val="22"/>
          <w:szCs w:val="22"/>
        </w:rPr>
        <w:t xml:space="preserve"> Y </w:t>
      </w:r>
      <w:r w:rsidR="2E7A99C1" w:rsidRPr="00283E81">
        <w:rPr>
          <w:rFonts w:ascii="Garamond" w:hAnsi="Garamond"/>
          <w:b/>
          <w:bCs/>
          <w:sz w:val="22"/>
          <w:szCs w:val="22"/>
        </w:rPr>
        <w:t>SIETE MILLONES</w:t>
      </w:r>
      <w:r w:rsidRPr="00283E81">
        <w:rPr>
          <w:rFonts w:ascii="Garamond" w:hAnsi="Garamond"/>
          <w:b/>
          <w:bCs/>
          <w:color w:val="000000" w:themeColor="text1"/>
          <w:sz w:val="22"/>
          <w:szCs w:val="22"/>
        </w:rPr>
        <w:t xml:space="preserve"> </w:t>
      </w:r>
      <w:r w:rsidR="613EAA52" w:rsidRPr="00283E81">
        <w:rPr>
          <w:rFonts w:ascii="Garamond" w:hAnsi="Garamond"/>
          <w:b/>
          <w:bCs/>
          <w:color w:val="000000" w:themeColor="text1"/>
          <w:sz w:val="22"/>
          <w:szCs w:val="22"/>
        </w:rPr>
        <w:t>OCHOCIENTOS MIL QUINIENTOS DOS</w:t>
      </w:r>
      <w:r w:rsidRPr="00283E81">
        <w:rPr>
          <w:rFonts w:ascii="Garamond" w:hAnsi="Garamond"/>
          <w:b/>
          <w:bCs/>
          <w:color w:val="000000" w:themeColor="text1"/>
          <w:sz w:val="22"/>
          <w:szCs w:val="22"/>
        </w:rPr>
        <w:t xml:space="preserve"> PESOS M/CTE ($</w:t>
      </w:r>
      <w:r w:rsidRPr="00283E81">
        <w:rPr>
          <w:rFonts w:ascii="Garamond" w:hAnsi="Garamond"/>
          <w:b/>
          <w:bCs/>
          <w:sz w:val="22"/>
          <w:szCs w:val="22"/>
        </w:rPr>
        <w:t>39</w:t>
      </w:r>
      <w:r w:rsidR="57267655" w:rsidRPr="00283E81">
        <w:rPr>
          <w:rFonts w:ascii="Garamond" w:hAnsi="Garamond"/>
          <w:b/>
          <w:bCs/>
          <w:sz w:val="22"/>
          <w:szCs w:val="22"/>
        </w:rPr>
        <w:t>7</w:t>
      </w:r>
      <w:r w:rsidRPr="00283E81">
        <w:rPr>
          <w:rFonts w:ascii="Garamond" w:hAnsi="Garamond"/>
          <w:b/>
          <w:bCs/>
          <w:color w:val="000000" w:themeColor="text1"/>
          <w:sz w:val="22"/>
          <w:szCs w:val="22"/>
        </w:rPr>
        <w:t>.</w:t>
      </w:r>
      <w:r w:rsidR="3045FB4D" w:rsidRPr="00283E81">
        <w:rPr>
          <w:rFonts w:ascii="Garamond" w:hAnsi="Garamond"/>
          <w:b/>
          <w:bCs/>
          <w:color w:val="000000" w:themeColor="text1"/>
          <w:sz w:val="22"/>
          <w:szCs w:val="22"/>
        </w:rPr>
        <w:t>8</w:t>
      </w:r>
      <w:r w:rsidRPr="00283E81">
        <w:rPr>
          <w:rFonts w:ascii="Garamond" w:hAnsi="Garamond"/>
          <w:b/>
          <w:bCs/>
          <w:color w:val="000000" w:themeColor="text1"/>
          <w:sz w:val="22"/>
          <w:szCs w:val="22"/>
        </w:rPr>
        <w:t>00.</w:t>
      </w:r>
      <w:r w:rsidR="4135D6A4" w:rsidRPr="00283E81">
        <w:rPr>
          <w:rFonts w:ascii="Garamond" w:hAnsi="Garamond"/>
          <w:b/>
          <w:bCs/>
          <w:color w:val="000000" w:themeColor="text1"/>
          <w:sz w:val="22"/>
          <w:szCs w:val="22"/>
        </w:rPr>
        <w:t>5</w:t>
      </w:r>
      <w:r w:rsidRPr="00283E81">
        <w:rPr>
          <w:rFonts w:ascii="Garamond" w:hAnsi="Garamond"/>
          <w:b/>
          <w:bCs/>
          <w:color w:val="000000" w:themeColor="text1"/>
          <w:sz w:val="22"/>
          <w:szCs w:val="22"/>
        </w:rPr>
        <w:t>0</w:t>
      </w:r>
      <w:r w:rsidR="39662BD9" w:rsidRPr="00283E81">
        <w:rPr>
          <w:rFonts w:ascii="Garamond" w:hAnsi="Garamond"/>
          <w:b/>
          <w:bCs/>
          <w:color w:val="000000" w:themeColor="text1"/>
          <w:sz w:val="22"/>
          <w:szCs w:val="22"/>
        </w:rPr>
        <w:t>2</w:t>
      </w:r>
      <w:r w:rsidRPr="00283E81">
        <w:rPr>
          <w:rFonts w:ascii="Garamond" w:hAnsi="Garamond"/>
          <w:b/>
          <w:bCs/>
          <w:color w:val="000000" w:themeColor="text1"/>
          <w:sz w:val="22"/>
          <w:szCs w:val="22"/>
        </w:rPr>
        <w:t>)</w:t>
      </w:r>
      <w:r w:rsidRPr="00283E81">
        <w:rPr>
          <w:rFonts w:ascii="Garamond" w:hAnsi="Garamond"/>
          <w:color w:val="000000" w:themeColor="text1"/>
          <w:sz w:val="22"/>
          <w:szCs w:val="22"/>
        </w:rPr>
        <w:t xml:space="preserve"> de la vigencia fiscal 2025 con cargo al proyecto </w:t>
      </w:r>
      <w:r w:rsidRPr="00283E81">
        <w:rPr>
          <w:rFonts w:ascii="Garamond" w:hAnsi="Garamond"/>
          <w:b/>
          <w:bCs/>
          <w:sz w:val="22"/>
          <w:szCs w:val="22"/>
        </w:rPr>
        <w:t>2412</w:t>
      </w:r>
      <w:r w:rsidRPr="00283E81">
        <w:rPr>
          <w:rFonts w:ascii="Garamond" w:hAnsi="Garamond"/>
          <w:i/>
          <w:iCs/>
          <w:sz w:val="22"/>
          <w:szCs w:val="22"/>
        </w:rPr>
        <w:t xml:space="preserve"> </w:t>
      </w:r>
      <w:r w:rsidRPr="00283E81">
        <w:rPr>
          <w:rFonts w:ascii="Garamond" w:hAnsi="Garamond"/>
          <w:color w:val="000000" w:themeColor="text1"/>
          <w:sz w:val="22"/>
          <w:szCs w:val="22"/>
        </w:rPr>
        <w:t>“Fontibón camina hacia el fortalecimiento institucional”</w:t>
      </w:r>
    </w:p>
    <w:p w14:paraId="7E43794B" w14:textId="77777777" w:rsidR="009D450A" w:rsidRPr="00283E81" w:rsidRDefault="009D450A" w:rsidP="009D450A">
      <w:pPr>
        <w:widowControl/>
        <w:pBdr>
          <w:top w:val="nil"/>
          <w:left w:val="nil"/>
          <w:bottom w:val="nil"/>
          <w:right w:val="nil"/>
          <w:between w:val="nil"/>
        </w:pBdr>
        <w:ind w:left="587"/>
        <w:jc w:val="both"/>
        <w:rPr>
          <w:rFonts w:ascii="Garamond" w:hAnsi="Garamond" w:cs="Times New Roman"/>
          <w:color w:val="000000"/>
          <w:sz w:val="22"/>
          <w:szCs w:val="22"/>
        </w:rPr>
      </w:pPr>
    </w:p>
    <w:p w14:paraId="7D91384A" w14:textId="77777777"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sz w:val="22"/>
          <w:szCs w:val="22"/>
        </w:rPr>
        <w:t xml:space="preserve">Teniendo en cuenta los lineamientos establecidos en la Directiva No. 012 de 2016, y la importancia que posee la cabeza del sector en temas de Sedes administrativas, en este caso la elaboración del presupuesto fueron utilizados los precios de referencia vigentes publicados por la </w:t>
      </w:r>
      <w:r w:rsidRPr="00283E81">
        <w:rPr>
          <w:rFonts w:ascii="Garamond" w:hAnsi="Garamond"/>
          <w:sz w:val="22"/>
          <w:szCs w:val="22"/>
        </w:rPr>
        <w:t>Secretaria de Educación del Distrito</w:t>
      </w:r>
      <w:r w:rsidRPr="00283E81">
        <w:rPr>
          <w:rFonts w:ascii="Garamond" w:hAnsi="Garamond"/>
          <w:color w:val="000000"/>
          <w:sz w:val="22"/>
          <w:szCs w:val="22"/>
        </w:rPr>
        <w:t xml:space="preserve"> en su página web </w:t>
      </w:r>
      <w:r w:rsidRPr="00283E81">
        <w:rPr>
          <w:rFonts w:ascii="Garamond" w:hAnsi="Garamond"/>
          <w:sz w:val="22"/>
          <w:szCs w:val="22"/>
        </w:rPr>
        <w:t>https://educacionbogota.edu.co/portal_institucional/</w:t>
      </w:r>
      <w:r w:rsidRPr="00283E81">
        <w:rPr>
          <w:rFonts w:ascii="Garamond" w:hAnsi="Garamond"/>
          <w:color w:val="000000"/>
          <w:sz w:val="22"/>
          <w:szCs w:val="22"/>
        </w:rPr>
        <w:t>); quienes se encargan de realizar la actualización de estos según los cambios en el mercado y demás disposiciones que afecten directamente los mismos. </w:t>
      </w:r>
    </w:p>
    <w:p w14:paraId="47296D70" w14:textId="77777777" w:rsidR="009D450A" w:rsidRPr="00283E81" w:rsidRDefault="009D450A" w:rsidP="009D450A">
      <w:pPr>
        <w:widowControl/>
        <w:ind w:firstLine="258"/>
        <w:rPr>
          <w:rFonts w:ascii="Garamond" w:hAnsi="Garamond" w:cs="Times New Roman"/>
          <w:sz w:val="22"/>
          <w:szCs w:val="22"/>
        </w:rPr>
      </w:pPr>
    </w:p>
    <w:p w14:paraId="1B583396" w14:textId="77777777"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sz w:val="22"/>
          <w:szCs w:val="22"/>
        </w:rPr>
        <w:t xml:space="preserve">Considerando el tipo de proyecto y contrato que se pretende celebrar, la contratación </w:t>
      </w:r>
      <w:r w:rsidRPr="00283E81">
        <w:rPr>
          <w:rFonts w:ascii="Garamond" w:hAnsi="Garamond"/>
          <w:b/>
          <w:color w:val="000000"/>
          <w:sz w:val="22"/>
          <w:szCs w:val="22"/>
        </w:rPr>
        <w:t>NO está cobijada por un Acuerdo Marco de Precios</w:t>
      </w:r>
      <w:r w:rsidRPr="00283E81">
        <w:rPr>
          <w:rFonts w:ascii="Garamond" w:hAnsi="Garamond"/>
          <w:color w:val="000000"/>
          <w:sz w:val="22"/>
          <w:szCs w:val="22"/>
        </w:rPr>
        <w:t>, toda vez que el bien o servicio no es de características uniformes. </w:t>
      </w:r>
    </w:p>
    <w:p w14:paraId="4E180066" w14:textId="2F216972" w:rsidR="009D450A" w:rsidRPr="00283E81" w:rsidRDefault="009D450A" w:rsidP="00E12C5A">
      <w:pPr>
        <w:widowControl/>
        <w:spacing w:before="280" w:after="280"/>
        <w:jc w:val="both"/>
        <w:rPr>
          <w:rFonts w:ascii="Garamond" w:hAnsi="Garamond"/>
          <w:color w:val="000000"/>
          <w:sz w:val="22"/>
          <w:szCs w:val="22"/>
        </w:rPr>
      </w:pPr>
      <w:r w:rsidRPr="00283E81">
        <w:rPr>
          <w:rFonts w:ascii="Garamond" w:hAnsi="Garamond"/>
          <w:color w:val="000000"/>
          <w:sz w:val="22"/>
          <w:szCs w:val="22"/>
        </w:rPr>
        <w:t xml:space="preserve">Para los precios unitarios de las actividades obras civiles, redes, componentes, diagnósticos, estudios y diseños se tiene en cuenta los Insumos de 2025 como precios de </w:t>
      </w:r>
      <w:r w:rsidRPr="00283E81">
        <w:rPr>
          <w:rFonts w:ascii="Garamond" w:hAnsi="Garamond"/>
          <w:sz w:val="22"/>
          <w:szCs w:val="22"/>
        </w:rPr>
        <w:t>referencia</w:t>
      </w:r>
      <w:r w:rsidRPr="00283E81">
        <w:rPr>
          <w:rFonts w:ascii="Garamond" w:hAnsi="Garamond"/>
          <w:color w:val="000000"/>
          <w:sz w:val="22"/>
          <w:szCs w:val="22"/>
        </w:rPr>
        <w:t xml:space="preserve"> por parte de la </w:t>
      </w:r>
      <w:r w:rsidRPr="00283E81">
        <w:rPr>
          <w:rFonts w:ascii="Garamond" w:hAnsi="Garamond"/>
          <w:sz w:val="22"/>
          <w:szCs w:val="22"/>
        </w:rPr>
        <w:t>Secretaría de Educación del Distrito</w:t>
      </w:r>
      <w:r w:rsidRPr="00283E81">
        <w:rPr>
          <w:rFonts w:ascii="Garamond" w:hAnsi="Garamond"/>
          <w:color w:val="000000"/>
          <w:sz w:val="22"/>
          <w:szCs w:val="22"/>
        </w:rPr>
        <w:t xml:space="preserve"> (Última versión).</w:t>
      </w:r>
    </w:p>
    <w:p w14:paraId="5299DB2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El anterior presupuesto oficial se estimó teniendo en cuenta los siguientes criterios: </w:t>
      </w:r>
    </w:p>
    <w:p w14:paraId="737A7017" w14:textId="77777777" w:rsidR="00E12C5A" w:rsidRPr="00283E81" w:rsidRDefault="00E12C5A" w:rsidP="003400E2">
      <w:pPr>
        <w:numPr>
          <w:ilvl w:val="0"/>
          <w:numId w:val="27"/>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 satisfacción de la necesidad proyectada. </w:t>
      </w:r>
    </w:p>
    <w:p w14:paraId="3B2B1047" w14:textId="77777777" w:rsidR="00E12C5A" w:rsidRPr="00283E81" w:rsidRDefault="00E12C5A" w:rsidP="003400E2">
      <w:pPr>
        <w:numPr>
          <w:ilvl w:val="0"/>
          <w:numId w:val="28"/>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La cuantía que obedece en este caso a la </w:t>
      </w:r>
      <w:r w:rsidRPr="00283E81">
        <w:rPr>
          <w:rFonts w:ascii="Garamond" w:hAnsi="Garamond"/>
          <w:sz w:val="22"/>
          <w:szCs w:val="22"/>
        </w:rPr>
        <w:t>selección abreviada de menor cuantía</w:t>
      </w:r>
      <w:r w:rsidRPr="00283E81">
        <w:rPr>
          <w:rFonts w:ascii="Garamond" w:hAnsi="Garamond"/>
          <w:color w:val="000000"/>
          <w:sz w:val="22"/>
          <w:szCs w:val="22"/>
        </w:rPr>
        <w:t>, en relación con las cuantías existentes para esta entidad. </w:t>
      </w:r>
    </w:p>
    <w:p w14:paraId="7E1C393F" w14:textId="77777777" w:rsidR="00E12C5A" w:rsidRPr="00283E81" w:rsidRDefault="00E12C5A" w:rsidP="003400E2">
      <w:pPr>
        <w:numPr>
          <w:ilvl w:val="0"/>
          <w:numId w:val="2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Los costos directos e indirectos en que debe incurrir el ejecutor del contrato, tales como la constitución de una póliza de garantía, el pago de los aportes al sistema de seguridad social en salud, pensión y aportes parafiscales y los descuentos correspondientes a la retención en la fuente, al Rete-ICA y Rete IVA, que se realizan en cada pago al ejecutor. </w:t>
      </w:r>
    </w:p>
    <w:p w14:paraId="1BCD34B4" w14:textId="77777777" w:rsidR="00E12C5A" w:rsidRPr="00283E81" w:rsidRDefault="00E12C5A" w:rsidP="003400E2">
      <w:pPr>
        <w:numPr>
          <w:ilvl w:val="0"/>
          <w:numId w:val="30"/>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 Estudio del Sector. </w:t>
      </w:r>
    </w:p>
    <w:p w14:paraId="2A6B98F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7CD7D85A"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la base de datos que maneja la Secretaría de Educación del Distrito, están todos los ítems de obra que se realizarán en el Mantenimiento de edificaciones, por lo tanto, se sugiere usar esta referencia, ya que se puede determinar con exactitud el costo de cada uno de los ítems que se vayan a realizar dentro de la presente </w:t>
      </w:r>
      <w:r w:rsidRPr="00283E81">
        <w:rPr>
          <w:rFonts w:ascii="Garamond" w:hAnsi="Garamond"/>
          <w:sz w:val="22"/>
          <w:szCs w:val="22"/>
        </w:rPr>
        <w:t xml:space="preserve">selección abreviada de menor cuantía </w:t>
      </w:r>
      <w:r w:rsidRPr="00283E81">
        <w:rPr>
          <w:rFonts w:ascii="Garamond" w:hAnsi="Garamond"/>
          <w:color w:val="000000"/>
          <w:sz w:val="22"/>
          <w:szCs w:val="22"/>
        </w:rPr>
        <w:t>sin llegar a errores y perjuicios económicos tanto para la Alcaldía como para el contratista. No obstante, lo anterior si durante la ejecución del contrato se determina que existe algún ítem de obra que se requiera y este no se encuentra </w:t>
      </w:r>
    </w:p>
    <w:p w14:paraId="7F93DD5E"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6A055E8"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Caracterización de los referentes</w:t>
      </w:r>
      <w:r w:rsidRPr="00283E81">
        <w:rPr>
          <w:rFonts w:ascii="Garamond" w:hAnsi="Garamond"/>
          <w:color w:val="000000"/>
          <w:sz w:val="22"/>
          <w:szCs w:val="22"/>
        </w:rPr>
        <w:t>: Los oferentes de estos tipos de bienes o servicios utilizan generalmente precios de referencia ya establecidos, estas referencias pueden caracterizarse mediante la información que reportan los contratos que se han realizado y cuyo objeto es similar al que se irá a ejecutar y la base de datos del Secretaría de Educación del Distrito. En uno y otro caso se usan precios unitarios para cada capítulo e ítem de obra, y en la composición de un análisis unitario intervienen insumos y mano de obra directos, así como también otros análisis con componentes similares. Los valores y cantidades de mano de obra corresponden a promedios suministrados por constructores medianos en cada ciudad, igualmente por las entidades distritales que cada año tienen la necesidad de contratar la Construcción, Adecuación y mantenimiento de su infraestructura para el buen funcionamiento y ampliación de la cobertura. </w:t>
      </w:r>
    </w:p>
    <w:p w14:paraId="300CA1BD"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FA59E2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Referente: </w:t>
      </w:r>
      <w:r w:rsidRPr="00283E81">
        <w:rPr>
          <w:rFonts w:ascii="Garamond" w:hAnsi="Garamond"/>
          <w:color w:val="000000"/>
          <w:sz w:val="22"/>
          <w:szCs w:val="22"/>
        </w:rPr>
        <w:t>Secretaría de Educación del Distrito. Cada año la Dirección de Construcción o Plantas Físicas, actualiza un listado de precios de referencia, la base de datos CIO, de los diferentes tipos de adecuaciones y construcciones nuevas que se desarrollan en todas las localidades, por lo tanto este es un indicador muy apropiado para realizar el presupuesto el mantenimiento, la remodelación, adecuación, recuperación integral preventiva y correctiva de toda la infraestructura física y el suministro desmonte e instalación de piezas y/o partes del mobiliario, la recuperación y mantenimiento de superficies, pisos y zonas duras y el mantenimiento preventivo y correctivo de cerramientos, de las sedes administrativas ubicadas en la localidad de Fontibón. </w:t>
      </w:r>
    </w:p>
    <w:p w14:paraId="3FB258B3"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Conclusión:</w:t>
      </w:r>
    </w:p>
    <w:p w14:paraId="3801ACF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la base de datos que maneja la Secretaría de Educación del Distrito, están todos los ítems de obra que se realizarán en el Mantenimiento de sedes administrativas, por lo tanto, se sugiere usar esta referencia, ya que se puede determinar con exactitud el costo de cada uno de los ítems que se vayan a realizar dentro de la presente </w:t>
      </w:r>
      <w:r w:rsidRPr="00283E81">
        <w:rPr>
          <w:rFonts w:ascii="Garamond" w:hAnsi="Garamond"/>
          <w:sz w:val="22"/>
          <w:szCs w:val="22"/>
        </w:rPr>
        <w:t>selección abreviada de menor cuantía s</w:t>
      </w:r>
      <w:r w:rsidRPr="00283E81">
        <w:rPr>
          <w:rFonts w:ascii="Garamond" w:hAnsi="Garamond"/>
          <w:color w:val="000000"/>
          <w:sz w:val="22"/>
          <w:szCs w:val="22"/>
        </w:rPr>
        <w:t xml:space="preserve">in llegar a errores y perjuicios económicos tanto para la Alcaldía como para el contratista. No obstante, lo anterior si durante la ejecución del contrato se determina que existe algún ítem de obra que se requiera y este no se encuentra obra, podrán acordar su incorporación para garantizar la </w:t>
      </w:r>
      <w:r w:rsidRPr="00283E81">
        <w:rPr>
          <w:rFonts w:ascii="Garamond" w:hAnsi="Garamond"/>
          <w:color w:val="000000"/>
          <w:sz w:val="22"/>
          <w:szCs w:val="22"/>
        </w:rPr>
        <w:lastRenderedPageBreak/>
        <w:t>correcta ejecución del contrato. </w:t>
      </w:r>
    </w:p>
    <w:p w14:paraId="33551C5B"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32D915E"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Con el fin de socializar los costos mencionados, se realiza la siguiente publicación teniendo en cuenta los siguientes aspectos: </w:t>
      </w:r>
    </w:p>
    <w:p w14:paraId="662EB9D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99C15C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costos de Mano de Obra se encuentran ajustados al salario mínimo legal vigente y al auxilio de transporte para el año 2025 </w:t>
      </w:r>
    </w:p>
    <w:p w14:paraId="63FCD86C"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factor prestacional se encuentra ajustado a la normatividad laboral vigente. </w:t>
      </w:r>
    </w:p>
    <w:p w14:paraId="7607929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diferentes insumos se encuentran debidamente actualizados a la fecha de la publicación y obedecen a la consulta detallada realizada con el sector Secretaría de Educación del Distrito</w:t>
      </w:r>
    </w:p>
    <w:p w14:paraId="1B902951"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Esta publicación se constituye en una herramienta de consulta y de referencia que puede ser empleada para la planeación y desarrollo de los presupuestos para las obras de sedes administrativas y edificaciones, acorde con las necesidades y particularidades de cada uno de los proyectos que la Secretaría de Educación del Distrito implementa. </w:t>
      </w:r>
    </w:p>
    <w:p w14:paraId="048DB636"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 el fin de dar alcance a la responsabilidad de la Entidad frente a la información que suministra al público en general, se aclara que no reemplaza la labor de análisis y soporte de cada proceso y, por tanto, el uso de la información publicada compromete solamente la responsabilidad del interesado y es de su competencia verificar y/o actualizar o no la información. </w:t>
      </w:r>
    </w:p>
    <w:p w14:paraId="4B93E86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 entidad no garantiza que los precios publicados se ajusten a ninguna situación técnica o proyecto particular. </w:t>
      </w:r>
    </w:p>
    <w:p w14:paraId="0448308F"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datos contenidos en la Base de Datos de la Secretaría de Educación del Distrito no reemplazan la labor contratada por el contratista quien tiene la obligación de evaluar, analizar y soportar caso por caso en los términos pactados contractualmente. </w:t>
      </w:r>
    </w:p>
    <w:p w14:paraId="607B8FB3"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registro de marcas o productos comerciales no presupone su recomendación de uso. Tal responsabilidad recae sobre el contratista. </w:t>
      </w:r>
    </w:p>
    <w:p w14:paraId="7F44B73E"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registro de precios de insumos no tiene en cuenta escalas por volumen de compras ni descuentos por ningún concepto y como regla general tiene en cuenta el IVA. El Interesado debe verificar esta condición con su proveedor. </w:t>
      </w:r>
    </w:p>
    <w:p w14:paraId="0A36B0F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1: </w:t>
      </w:r>
      <w:r w:rsidRPr="00283E81">
        <w:rPr>
          <w:rFonts w:ascii="Garamond" w:hAnsi="Garamond"/>
          <w:color w:val="000000"/>
          <w:sz w:val="22"/>
          <w:szCs w:val="22"/>
        </w:rPr>
        <w:t>El proponente debe ofertar todos los ítems incluidos en el anexo de Propuesta Económica. Los precios ofrecidos deben sostenerse durante el plazo de ejecución del contrato, porque no se autorizarán reajustes de estos. Igualmente, los proponentes no podrán ofertar un porcentaje de A.I.U. superior al establecido por la entidad en el Anexo correspondiente a los costos del presente proceso de contratación, en caso de que así sea, dará lugar al rechazo de la propuesta. </w:t>
      </w:r>
    </w:p>
    <w:p w14:paraId="6F30063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06B49F1"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2: </w:t>
      </w:r>
      <w:r w:rsidRPr="00283E81">
        <w:rPr>
          <w:rFonts w:ascii="Garamond" w:hAnsi="Garamond"/>
          <w:color w:val="000000"/>
          <w:sz w:val="22"/>
          <w:szCs w:val="22"/>
        </w:rPr>
        <w:t>Teniendo en cuenta que se están ofertando valores unitarios para obtener un mayor beneficio para la entidad con los recursos disponibles para la presente vigencia, el contrato se adjudicará por el valor total del Presupuesto Oficial del presente proceso, al proponente que obtenga el mayor puntaje total en la sumatoria de los diferentes criterios de evaluación y puntuación.</w:t>
      </w:r>
    </w:p>
    <w:p w14:paraId="4F0073F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5F6EE87C"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3: </w:t>
      </w:r>
      <w:r w:rsidRPr="00283E81">
        <w:rPr>
          <w:rFonts w:ascii="Garamond" w:hAnsi="Garamond"/>
          <w:color w:val="000000"/>
          <w:sz w:val="22"/>
          <w:szCs w:val="22"/>
        </w:rPr>
        <w:t xml:space="preserve">El FDLF dentro de la aplicación del principio de planeación establecerá el 1% de imprevistos del valor del A.I.U. Este porcentaje será destinado a cubrir el costo de los imprevistos que puedan ocurrir durante su ejecución. El porcentaje de Imprevistos sólo será pagado si y solo sí se presentan las circunstancias durante la ejecución del contrato que excedan lo planificado y superen cualquier cálculo previsible, y que pueda ser demostrado ampliamente por el contratista. La </w:t>
      </w:r>
      <w:r w:rsidRPr="00283E81">
        <w:rPr>
          <w:rFonts w:ascii="Garamond" w:hAnsi="Garamond"/>
          <w:sz w:val="22"/>
          <w:szCs w:val="22"/>
        </w:rPr>
        <w:t xml:space="preserve">supervisión del FDLF </w:t>
      </w:r>
      <w:r w:rsidRPr="00283E81">
        <w:rPr>
          <w:rFonts w:ascii="Garamond" w:hAnsi="Garamond"/>
          <w:color w:val="000000"/>
          <w:sz w:val="22"/>
          <w:szCs w:val="22"/>
        </w:rPr>
        <w:t>del contrato deberá revisar y aprobar la justificación de la ocurrencia de los imprevistos presentados por el Contratista de Obra. </w:t>
      </w:r>
    </w:p>
    <w:p w14:paraId="3CD9B7A3"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0766B2D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4: </w:t>
      </w:r>
      <w:r w:rsidRPr="00283E81">
        <w:rPr>
          <w:rFonts w:ascii="Garamond" w:hAnsi="Garamond"/>
          <w:color w:val="000000"/>
          <w:sz w:val="22"/>
          <w:szCs w:val="22"/>
        </w:rPr>
        <w:t>ANÁLISIS DEL A.I.U: Los oferentes deberán presentar el análisis del A.I.U, soportado en la discriminación de este, el cual regirá tanto para los análisis de precios unitarios propuestos como para los nuevos precios que sean necesarios pactar en el transcurso del contrato. </w:t>
      </w:r>
    </w:p>
    <w:p w14:paraId="09E7DF04"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1F634810"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porcentaje de A.I.U. que presenten los proponentes no debe ser superior al 100% del A.I.U. oficial definido por el FONDO DE DESARROLLO LOCAL DE FONTIBÓN so pena de rechazo de la propuesta. </w:t>
      </w:r>
    </w:p>
    <w:p w14:paraId="3ED05CB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5A819638"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siguientes son los valores oficiales del AIU del proceso: </w:t>
      </w:r>
    </w:p>
    <w:p w14:paraId="386CD5F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4258FC42" w14:textId="4B00118C"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b/>
          <w:bCs/>
          <w:color w:val="000000" w:themeColor="text1"/>
          <w:sz w:val="22"/>
          <w:szCs w:val="22"/>
        </w:rPr>
        <w:t>Administración (A) 2</w:t>
      </w:r>
      <w:r w:rsidR="280CEB79" w:rsidRPr="00283E81">
        <w:rPr>
          <w:rFonts w:ascii="Garamond" w:hAnsi="Garamond"/>
          <w:b/>
          <w:bCs/>
          <w:color w:val="000000" w:themeColor="text1"/>
          <w:sz w:val="22"/>
          <w:szCs w:val="22"/>
        </w:rPr>
        <w:t>9,94</w:t>
      </w:r>
      <w:r w:rsidRPr="00283E81">
        <w:rPr>
          <w:rFonts w:ascii="Garamond" w:hAnsi="Garamond"/>
          <w:b/>
          <w:bCs/>
          <w:color w:val="000000" w:themeColor="text1"/>
          <w:sz w:val="22"/>
          <w:szCs w:val="22"/>
        </w:rPr>
        <w:t>% </w:t>
      </w:r>
    </w:p>
    <w:p w14:paraId="6AD24B29" w14:textId="1D4F9A09" w:rsidR="00E12C5A" w:rsidRPr="00283E81" w:rsidRDefault="00E12C5A" w:rsidP="44744DA9">
      <w:pPr>
        <w:pBdr>
          <w:top w:val="nil"/>
          <w:left w:val="nil"/>
          <w:bottom w:val="nil"/>
          <w:right w:val="nil"/>
          <w:between w:val="nil"/>
        </w:pBdr>
        <w:jc w:val="both"/>
        <w:rPr>
          <w:rFonts w:ascii="Garamond" w:hAnsi="Garamond"/>
          <w:b/>
          <w:bCs/>
          <w:color w:val="000000"/>
          <w:sz w:val="22"/>
          <w:szCs w:val="22"/>
        </w:rPr>
      </w:pPr>
      <w:r w:rsidRPr="00283E81">
        <w:rPr>
          <w:rFonts w:ascii="Garamond" w:hAnsi="Garamond"/>
          <w:b/>
          <w:bCs/>
          <w:color w:val="000000" w:themeColor="text1"/>
          <w:sz w:val="22"/>
          <w:szCs w:val="22"/>
        </w:rPr>
        <w:t xml:space="preserve">Imprevistos (I) </w:t>
      </w:r>
      <w:r w:rsidR="441A6979" w:rsidRPr="00283E81">
        <w:rPr>
          <w:rFonts w:ascii="Garamond" w:hAnsi="Garamond"/>
          <w:b/>
          <w:bCs/>
          <w:color w:val="000000" w:themeColor="text1"/>
          <w:sz w:val="22"/>
          <w:szCs w:val="22"/>
        </w:rPr>
        <w:t>0,7</w:t>
      </w:r>
      <w:r w:rsidRPr="00283E81">
        <w:rPr>
          <w:rFonts w:ascii="Garamond" w:hAnsi="Garamond"/>
          <w:b/>
          <w:bCs/>
          <w:color w:val="000000" w:themeColor="text1"/>
          <w:sz w:val="22"/>
          <w:szCs w:val="22"/>
        </w:rPr>
        <w:t>% </w:t>
      </w:r>
    </w:p>
    <w:p w14:paraId="209A6646" w14:textId="77777777"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b/>
          <w:bCs/>
          <w:color w:val="000000" w:themeColor="text1"/>
          <w:sz w:val="22"/>
          <w:szCs w:val="22"/>
        </w:rPr>
        <w:t xml:space="preserve">Utilidades (U) </w:t>
      </w:r>
      <w:r w:rsidRPr="00283E81">
        <w:rPr>
          <w:rFonts w:ascii="Garamond" w:hAnsi="Garamond"/>
          <w:b/>
          <w:bCs/>
          <w:sz w:val="22"/>
          <w:szCs w:val="22"/>
        </w:rPr>
        <w:t>4</w:t>
      </w:r>
      <w:r w:rsidRPr="00283E81">
        <w:rPr>
          <w:rFonts w:ascii="Garamond" w:hAnsi="Garamond"/>
          <w:b/>
          <w:bCs/>
          <w:color w:val="000000" w:themeColor="text1"/>
          <w:sz w:val="22"/>
          <w:szCs w:val="22"/>
        </w:rPr>
        <w:t>% </w:t>
      </w:r>
    </w:p>
    <w:p w14:paraId="11F3D75E" w14:textId="49CC62DF" w:rsidR="00E12C5A" w:rsidRPr="00283E81" w:rsidRDefault="00E12C5A" w:rsidP="44744DA9">
      <w:pPr>
        <w:pBdr>
          <w:top w:val="nil"/>
          <w:left w:val="nil"/>
          <w:bottom w:val="nil"/>
          <w:right w:val="nil"/>
          <w:between w:val="nil"/>
        </w:pBdr>
        <w:jc w:val="both"/>
        <w:rPr>
          <w:rFonts w:ascii="Garamond" w:hAnsi="Garamond"/>
          <w:b/>
          <w:bCs/>
          <w:color w:val="000000"/>
          <w:sz w:val="22"/>
          <w:szCs w:val="22"/>
        </w:rPr>
      </w:pPr>
      <w:r w:rsidRPr="00283E81">
        <w:rPr>
          <w:rFonts w:ascii="Garamond" w:hAnsi="Garamond"/>
          <w:b/>
          <w:bCs/>
          <w:color w:val="000000" w:themeColor="text1"/>
          <w:sz w:val="22"/>
          <w:szCs w:val="22"/>
        </w:rPr>
        <w:t>TOTAL A.I. U= 3</w:t>
      </w:r>
      <w:r w:rsidR="74E56E90" w:rsidRPr="00283E81">
        <w:rPr>
          <w:rFonts w:ascii="Garamond" w:hAnsi="Garamond"/>
          <w:b/>
          <w:bCs/>
          <w:color w:val="000000" w:themeColor="text1"/>
          <w:sz w:val="22"/>
          <w:szCs w:val="22"/>
        </w:rPr>
        <w:t>4,64</w:t>
      </w:r>
      <w:r w:rsidRPr="00283E81">
        <w:rPr>
          <w:rFonts w:ascii="Garamond" w:hAnsi="Garamond"/>
          <w:b/>
          <w:bCs/>
          <w:color w:val="000000" w:themeColor="text1"/>
          <w:sz w:val="22"/>
          <w:szCs w:val="22"/>
        </w:rPr>
        <w:t>%</w:t>
      </w:r>
    </w:p>
    <w:p w14:paraId="04FE67D5" w14:textId="77777777" w:rsidR="00F768D0" w:rsidRPr="00283E81" w:rsidRDefault="00F768D0" w:rsidP="00F768D0">
      <w:pPr>
        <w:pStyle w:val="Standard"/>
        <w:shd w:val="clear" w:color="auto" w:fill="FFFFFF"/>
        <w:tabs>
          <w:tab w:val="left" w:pos="6743"/>
        </w:tabs>
        <w:spacing w:before="280" w:after="280"/>
        <w:rPr>
          <w:rFonts w:ascii="Garamond" w:hAnsi="Garamond" w:cs="Arial"/>
          <w:b/>
          <w:color w:val="000000"/>
          <w:sz w:val="22"/>
          <w:szCs w:val="22"/>
          <w:lang w:val="es-ES"/>
        </w:rPr>
      </w:pPr>
      <w:r w:rsidRPr="00283E81">
        <w:rPr>
          <w:rFonts w:ascii="Garamond" w:hAnsi="Garamond" w:cs="Arial"/>
          <w:b/>
          <w:color w:val="000000"/>
          <w:sz w:val="22"/>
          <w:szCs w:val="22"/>
          <w:lang w:val="es-ES"/>
        </w:rPr>
        <w:t>4.1 ANÁLISIS DEL SECTOR Y DE LOS OFERENTES</w:t>
      </w:r>
    </w:p>
    <w:p w14:paraId="6504D52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Atendiendo lo dispuesto en el artículo 2.2.1.1.1.6.1 del Decreto 1082 del 26 de mayo de 2015, El Fondo de Desarrollo Local de Fontibón requiere la celebración de un contrato de Obra, cuyo estudio de sector se encuentra en documentos anexos y teniendo en cuenta el objeto del proceso de contratación, particularmente las condiciones del contrato, como el plazo y la forma de entrega. El análisis del sector permitirá a la Entidad sustentar su decisión de hacer una</w:t>
      </w:r>
      <w:r w:rsidRPr="00283E81">
        <w:rPr>
          <w:rFonts w:ascii="Garamond" w:hAnsi="Garamond"/>
          <w:sz w:val="22"/>
          <w:szCs w:val="22"/>
        </w:rPr>
        <w:t xml:space="preserve"> selección abreviada de menor cuantía</w:t>
      </w:r>
      <w:r w:rsidRPr="00283E81">
        <w:rPr>
          <w:rFonts w:ascii="Garamond" w:hAnsi="Garamond"/>
          <w:color w:val="000000"/>
          <w:sz w:val="22"/>
          <w:szCs w:val="22"/>
        </w:rPr>
        <w:t>, y la forma en que pacta el contrato desde el punto de vista de la eficiencia, eficacia y economía. </w:t>
      </w:r>
    </w:p>
    <w:p w14:paraId="057277CA"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136A377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cumplimiento de lo dispuesto en el artículo 2.2.1.2.4.2.15. del decreto 1082 de 2015 en el estudio de sector se deberá analizar desde la perspectiva del estudio de la oferta de las obras, bienes o servicios que requieren, los emprendimientos y empresas de mujeres con domicilio en el territorio nacional. Lo anterior con el fin de verificar la procedencia o no de establecer condiciones habilitantes diferenciales para incentivar los emprendimientos y empresas de mujeres con domicilio en el territorio nacional y otorgar puntajes adicionales que acrediten alguno de los supuestos del artículo 2.2.1.2.4.2.14 del Decreto 1082 de 2015. </w:t>
      </w:r>
    </w:p>
    <w:p w14:paraId="6CDE4A62"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6D88B5D"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conformidad con lo establecido en el artículo 2.2.1.2.4.2.16 del decreto 1082 de 2015, se deberá analizar la conveniencia y oportunidad de fomentar la participación en la ejecución de contratos estatales a población en pobreza extrema, desplazados por la violencia, personas en proceso de reintegración o reincorporación y sujetos de especial protección constitucional, teniendo en cuenta el objeto contractual y el alcance de las obligaciones </w:t>
      </w:r>
      <w:r w:rsidRPr="00283E81">
        <w:rPr>
          <w:rFonts w:ascii="Garamond" w:hAnsi="Garamond"/>
          <w:color w:val="000000"/>
          <w:sz w:val="22"/>
          <w:szCs w:val="22"/>
        </w:rPr>
        <w:lastRenderedPageBreak/>
        <w:t>de este aspecto se dejará constancia en el análisis del sector y en el evento en que sea viable la contratación de los sujetos anteriormente mencionados en la ejecución del contrato se incorporará dicha obligación en los estudios previos y en la minuta del contrato del pliego de condiciones o documento equivalente, precisando las sanciones pecuniarias producto del incumplimiento injustificado de esta a través de las causales de multa que se estimen pertinentes. </w:t>
      </w:r>
    </w:p>
    <w:p w14:paraId="5C6728B4"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7C916AE3" w14:textId="226B6DA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Así mismo y en virtud de lo establecido en el artículo 2.2.1.2.4.2.18. del Decreto 1082 de 2015 en el estudio de sector se deberá analizar la procedencia o no de establecer condiciones habilitantes diferenciales que promuevan y faciliten la participación en los procedimientos de selección competitivos de las MiPymes domiciliadas en Colombia.</w:t>
      </w:r>
      <w:r w:rsidR="00560581" w:rsidRPr="00283E81">
        <w:rPr>
          <w:rFonts w:ascii="Garamond" w:hAnsi="Garamond"/>
          <w:color w:val="000000"/>
          <w:sz w:val="22"/>
          <w:szCs w:val="22"/>
        </w:rPr>
        <w:t xml:space="preserve"> Así las cosas, se elaboró análisis de sector, a través de documento adjunto.</w:t>
      </w:r>
    </w:p>
    <w:p w14:paraId="2457D5E8" w14:textId="77777777" w:rsidR="00F768D0" w:rsidRPr="00283E81" w:rsidRDefault="00F768D0" w:rsidP="00F768D0">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571AB02D" w14:textId="77777777" w:rsidTr="002F4178">
        <w:trPr>
          <w:jc w:val="center"/>
        </w:trPr>
        <w:tc>
          <w:tcPr>
            <w:tcW w:w="9498" w:type="dxa"/>
            <w:shd w:val="clear" w:color="auto" w:fill="D9D9D9"/>
          </w:tcPr>
          <w:p w14:paraId="58B5F23B" w14:textId="77777777" w:rsidR="00F768D0" w:rsidRPr="00283E81" w:rsidRDefault="00F768D0" w:rsidP="002F4178">
            <w:pPr>
              <w:pStyle w:val="Standard"/>
              <w:jc w:val="both"/>
              <w:rPr>
                <w:rFonts w:ascii="Garamond" w:hAnsi="Garamond" w:cs="Arial"/>
                <w:b/>
                <w:sz w:val="22"/>
                <w:szCs w:val="22"/>
              </w:rPr>
            </w:pPr>
            <w:bookmarkStart w:id="9" w:name="_Hlk79057005"/>
            <w:r w:rsidRPr="00283E81">
              <w:rPr>
                <w:rFonts w:ascii="Garamond" w:hAnsi="Garamond" w:cs="Arial"/>
                <w:b/>
                <w:sz w:val="22"/>
                <w:szCs w:val="22"/>
              </w:rPr>
              <w:t>5. REQUISITOS HABILITANTES Y CRITERIOS PARA SELECCIONAR LA OFERTA MÁS FAVORABLE</w:t>
            </w:r>
          </w:p>
        </w:tc>
      </w:tr>
      <w:bookmarkEnd w:id="9"/>
    </w:tbl>
    <w:p w14:paraId="35E59A05" w14:textId="77777777" w:rsidR="00F768D0" w:rsidRPr="00283E81" w:rsidRDefault="00F768D0" w:rsidP="00F768D0">
      <w:pPr>
        <w:pStyle w:val="Standard"/>
        <w:jc w:val="both"/>
        <w:rPr>
          <w:rFonts w:ascii="Garamond" w:hAnsi="Garamond" w:cs="Arial"/>
          <w:b/>
          <w:bCs/>
          <w:sz w:val="22"/>
          <w:szCs w:val="22"/>
        </w:rPr>
      </w:pPr>
    </w:p>
    <w:p w14:paraId="778530BF" w14:textId="77777777" w:rsidR="00E12C5A" w:rsidRPr="00283E81" w:rsidRDefault="00E12C5A" w:rsidP="00E12C5A">
      <w:pPr>
        <w:keepNext/>
        <w:widowControl/>
        <w:spacing w:before="240" w:after="60"/>
        <w:ind w:left="360"/>
        <w:jc w:val="both"/>
        <w:rPr>
          <w:rFonts w:ascii="Garamond" w:hAnsi="Garamond"/>
          <w:b/>
          <w:color w:val="000000"/>
          <w:sz w:val="22"/>
          <w:szCs w:val="22"/>
        </w:rPr>
      </w:pPr>
      <w:bookmarkStart w:id="10" w:name="_Hlk79058853"/>
      <w:r w:rsidRPr="00283E81">
        <w:rPr>
          <w:rFonts w:ascii="Garamond" w:hAnsi="Garamond"/>
          <w:b/>
          <w:color w:val="000000"/>
          <w:sz w:val="22"/>
          <w:szCs w:val="22"/>
        </w:rPr>
        <w:t>5.1. REQUISITOS HABILITANTES</w:t>
      </w:r>
    </w:p>
    <w:p w14:paraId="4BABF8F6" w14:textId="77777777" w:rsidR="00E12C5A" w:rsidRPr="00283E81" w:rsidRDefault="00E12C5A" w:rsidP="00E12C5A">
      <w:pPr>
        <w:ind w:right="-284"/>
        <w:jc w:val="both"/>
        <w:rPr>
          <w:rFonts w:ascii="Garamond" w:hAnsi="Garamond"/>
          <w:b/>
          <w:sz w:val="22"/>
          <w:szCs w:val="22"/>
        </w:rPr>
      </w:pPr>
    </w:p>
    <w:p w14:paraId="1F7ACC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Entidad verificará los requisitos habilitantes dentro del término señalado en el Cronograma del Pliego de Condiciones, de acuerdo con los soportes documentales que acompañan la propuesta presentada.</w:t>
      </w:r>
    </w:p>
    <w:p w14:paraId="450A3A5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requisitos habilitantes serán objeto de verificación. Por lo tanto, si la propuesta cumple con todos los aspectos se evaluarán como </w:t>
      </w:r>
      <w:r w:rsidRPr="00283E81">
        <w:rPr>
          <w:rFonts w:ascii="Garamond" w:hAnsi="Garamond"/>
          <w:i/>
          <w:color w:val="000000"/>
          <w:sz w:val="22"/>
          <w:szCs w:val="22"/>
        </w:rPr>
        <w:t>“cumple”</w:t>
      </w:r>
      <w:r w:rsidRPr="00283E81">
        <w:rPr>
          <w:rFonts w:ascii="Garamond" w:hAnsi="Garamond"/>
          <w:color w:val="000000"/>
          <w:sz w:val="22"/>
          <w:szCs w:val="22"/>
        </w:rPr>
        <w:t xml:space="preserve">. En caso contrario, se evaluará como </w:t>
      </w:r>
      <w:r w:rsidRPr="00283E81">
        <w:rPr>
          <w:rFonts w:ascii="Garamond" w:hAnsi="Garamond"/>
          <w:i/>
          <w:color w:val="000000"/>
          <w:sz w:val="22"/>
          <w:szCs w:val="22"/>
        </w:rPr>
        <w:t>“no cumple”</w:t>
      </w:r>
      <w:r w:rsidRPr="00283E81">
        <w:rPr>
          <w:rFonts w:ascii="Garamond" w:hAnsi="Garamond"/>
          <w:color w:val="000000"/>
          <w:sz w:val="22"/>
          <w:szCs w:val="22"/>
        </w:rPr>
        <w:t xml:space="preserve">. </w:t>
      </w:r>
    </w:p>
    <w:p w14:paraId="346C4E3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A0108B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conformidad con la normativa aplicable, la Entidad realizará la verificación de requisitos habilitantes de los Proponentes (personas naturales o jurídicas nacionales o extranjeras domiciliadas o con sucursal en Colombia, Consorcios o Uniones Temporales) con base en la información contenida en el RUP y los documentos señalados en los Documentos Tipo.</w:t>
      </w:r>
    </w:p>
    <w:p w14:paraId="54B9316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FA9D24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Entidad no podrá exigir requisitos habilitantes diferentes a los señalados en los Documentos Tipo.</w:t>
      </w:r>
    </w:p>
    <w:p w14:paraId="10F3CF2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1" w:name="_heading=h.ey3e8k249mxg" w:colFirst="0" w:colLast="0"/>
      <w:bookmarkEnd w:id="11"/>
    </w:p>
    <w:p w14:paraId="745F905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GENERALIDADES</w:t>
      </w:r>
    </w:p>
    <w:p w14:paraId="113247A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50F2D177"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A. Únicamente se consideran habilitados aquellos Proponentes que cumplan todos los requisitos habilitantes, según lo señalado en el Pliego de Condiciones.</w:t>
      </w:r>
    </w:p>
    <w:p w14:paraId="0E5AA4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5B821D"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B. En el caso de Proponentes Plurales, los requisitos habilitantes serán acreditados por cada uno de los integrantes de la figura asociativa, salvo que se entienda algo distinto y, en todo caso, se realizará de acuerdo con las reglas del Pliego de Condiciones.</w:t>
      </w:r>
    </w:p>
    <w:p w14:paraId="3F9B77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347E0E"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 xml:space="preserve">C. Todos los proponentes deben diligenciar el Formato 3 – Experiencia y los Proponentes extranjeros sin domicilio o sin sucursal en Colombia deben diligenciar adicionalmente el Formato 4 – Capacidad financiera y organizacional para extranjeros y adjuntar los soportes que ahí se definen. </w:t>
      </w:r>
    </w:p>
    <w:p w14:paraId="5AD4AA9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A22679"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lastRenderedPageBreak/>
        <w:t>D. Los Proponentes obligados a estar inscritos en el Registro Único de Proponentes (RUP), deben aportar el certificado con fecha de expedición no mayor a treinta (30) días calendario anteriores a la fecha de cierre del Proceso de Contratación. En caso de modificarse la fecha de cierre del proceso, se tendrá como referencia para establecer el plazo de vigencia del certificado la originalmente indicada en el Pliego de Condiciones.</w:t>
      </w:r>
    </w:p>
    <w:p w14:paraId="06AAB6D8"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5E352980" w14:textId="77777777" w:rsidR="00E12C5A" w:rsidRPr="00283E81" w:rsidRDefault="00E12C5A" w:rsidP="00E12C5A">
      <w:pPr>
        <w:keepNext/>
        <w:keepLines/>
        <w:spacing w:before="40"/>
        <w:ind w:left="284" w:right="116"/>
        <w:jc w:val="both"/>
        <w:rPr>
          <w:rFonts w:ascii="Garamond" w:hAnsi="Garamond"/>
          <w:b/>
          <w:color w:val="000000"/>
          <w:sz w:val="22"/>
          <w:szCs w:val="22"/>
        </w:rPr>
      </w:pPr>
      <w:r w:rsidRPr="00283E81">
        <w:rPr>
          <w:rFonts w:ascii="Garamond" w:hAnsi="Garamond"/>
          <w:b/>
          <w:color w:val="000000"/>
          <w:sz w:val="22"/>
          <w:szCs w:val="22"/>
        </w:rPr>
        <w:t>CAPACIDAD JURÍDICA</w:t>
      </w:r>
    </w:p>
    <w:p w14:paraId="3885F3B5" w14:textId="77777777" w:rsidR="00E12C5A" w:rsidRPr="00283E81" w:rsidRDefault="00E12C5A" w:rsidP="00E12C5A">
      <w:pPr>
        <w:widowControl/>
        <w:ind w:left="284" w:right="116"/>
        <w:jc w:val="both"/>
        <w:rPr>
          <w:rFonts w:ascii="Garamond" w:hAnsi="Garamond"/>
          <w:b/>
          <w:sz w:val="22"/>
          <w:szCs w:val="22"/>
        </w:rPr>
      </w:pPr>
    </w:p>
    <w:p w14:paraId="05E3494A"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interesados podrán participar como Proponentes bajo alguna de las siguientes modalidades siempre y cuando cumplan los requisitos exigidos en el Pliego de Condiciones:</w:t>
      </w:r>
    </w:p>
    <w:p w14:paraId="7B7F49E3" w14:textId="77777777" w:rsidR="00E12C5A" w:rsidRPr="00283E81" w:rsidRDefault="00E12C5A" w:rsidP="00E12C5A">
      <w:pPr>
        <w:widowControl/>
        <w:ind w:left="284" w:right="116"/>
        <w:jc w:val="both"/>
        <w:rPr>
          <w:rFonts w:ascii="Garamond" w:hAnsi="Garamond"/>
          <w:sz w:val="22"/>
          <w:szCs w:val="22"/>
        </w:rPr>
      </w:pPr>
    </w:p>
    <w:p w14:paraId="5D427788" w14:textId="77777777" w:rsidR="00E12C5A" w:rsidRPr="00283E81" w:rsidRDefault="00E12C5A" w:rsidP="003400E2">
      <w:pPr>
        <w:widowControl/>
        <w:numPr>
          <w:ilvl w:val="0"/>
          <w:numId w:val="72"/>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Individualmente como: a) persona natural nacional o extranjera, b) persona jurídica nacional o extranjera.</w:t>
      </w:r>
    </w:p>
    <w:p w14:paraId="59F0962A" w14:textId="77777777" w:rsidR="00E12C5A" w:rsidRPr="00283E81" w:rsidRDefault="00E12C5A" w:rsidP="003400E2">
      <w:pPr>
        <w:widowControl/>
        <w:numPr>
          <w:ilvl w:val="0"/>
          <w:numId w:val="72"/>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Conjuntamente, como Proponentes Plurales en cualquiera de las formas de asociación previstas en el artículo 7 de la Ley 80 de 1993.</w:t>
      </w:r>
    </w:p>
    <w:p w14:paraId="7DBDA976" w14:textId="77777777" w:rsidR="00E12C5A" w:rsidRPr="00283E81" w:rsidRDefault="00E12C5A" w:rsidP="00E12C5A">
      <w:pPr>
        <w:widowControl/>
        <w:ind w:left="284" w:right="116"/>
        <w:jc w:val="both"/>
        <w:rPr>
          <w:rFonts w:ascii="Garamond" w:hAnsi="Garamond"/>
          <w:sz w:val="22"/>
          <w:szCs w:val="22"/>
        </w:rPr>
      </w:pPr>
    </w:p>
    <w:p w14:paraId="701B1CC2"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Proponentes deben:</w:t>
      </w:r>
    </w:p>
    <w:p w14:paraId="5B2B3948" w14:textId="77777777" w:rsidR="00E12C5A" w:rsidRPr="00283E81" w:rsidRDefault="00E12C5A" w:rsidP="00E12C5A">
      <w:pPr>
        <w:widowControl/>
        <w:ind w:left="284" w:right="116"/>
        <w:jc w:val="both"/>
        <w:rPr>
          <w:rFonts w:ascii="Garamond" w:hAnsi="Garamond"/>
          <w:sz w:val="22"/>
          <w:szCs w:val="22"/>
        </w:rPr>
      </w:pPr>
    </w:p>
    <w:p w14:paraId="24417445"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Tener capacidad jurídica para la presentación de la oferta.</w:t>
      </w:r>
    </w:p>
    <w:p w14:paraId="7E16513B"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Tener capacidad jurídica para la celebración y ejecución del Contrato.</w:t>
      </w:r>
    </w:p>
    <w:p w14:paraId="3937404A"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No estar incursos en ninguna de las circunstancias de inhabilidad, incompatibilidad, conflicto de interés o prohibición para contratar previstas en la Constitución y en la ley, incluyendo la causal establecida en el numeral 1.14 del Pliego de Condiciones.</w:t>
      </w:r>
    </w:p>
    <w:p w14:paraId="17AA3A77"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No estar reportados en el último boletín de responsables fiscales vigentes publicado por la Contraloría General de la República. Esta disposición aplica para el Proponente e integrantes de un Proponente Plural con domicilio en Colombia. Tratándose de Proponentes Extranjeros sin domicilio o sin sucursal en Colombia, deben declarar que no son responsables fiscales por actividades ejercidas en Colombia en el pasado y que no tienen sanciones vigentes en Colombia que impliquen inhabilidad para contratar con el Estado.</w:t>
      </w:r>
    </w:p>
    <w:p w14:paraId="7891AA10" w14:textId="77777777" w:rsidR="00E12C5A" w:rsidRPr="00283E81" w:rsidRDefault="00E12C5A" w:rsidP="00E12C5A">
      <w:pPr>
        <w:widowControl/>
        <w:ind w:left="284" w:right="116"/>
        <w:jc w:val="both"/>
        <w:rPr>
          <w:rFonts w:ascii="Garamond" w:hAnsi="Garamond"/>
          <w:sz w:val="22"/>
          <w:szCs w:val="22"/>
        </w:rPr>
      </w:pPr>
    </w:p>
    <w:p w14:paraId="073628EB"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La Entidad debe consultar los antecedentes judiciales en línea en los registros de las bases de datos, al igual que los antecedentes fiscales acorde con el artículo 60 de la Ley 610 de 2000, los antecedentes disciplinarios conforme con el artículo 1 de la Ley 1238 de 2008 y el Registro Nacional de Medidas Correctivas del Ministerio de Defensa Nacional – Policía Nacional, de acuerdo con lo dispuesto en el artículo 184 de la Ley 1801 de 2016 – Código Nacional de Seguridad y Convivencia Ciudadana–.</w:t>
      </w:r>
    </w:p>
    <w:p w14:paraId="43CC71A6" w14:textId="77777777" w:rsidR="00E12C5A" w:rsidRPr="00283E81" w:rsidRDefault="00E12C5A" w:rsidP="00E12C5A">
      <w:pPr>
        <w:widowControl/>
        <w:ind w:left="284" w:right="116"/>
        <w:jc w:val="both"/>
        <w:rPr>
          <w:rFonts w:ascii="Garamond" w:hAnsi="Garamond"/>
          <w:sz w:val="22"/>
          <w:szCs w:val="22"/>
        </w:rPr>
      </w:pPr>
    </w:p>
    <w:p w14:paraId="1530C293" w14:textId="77777777" w:rsidR="00E12C5A" w:rsidRPr="00283E81" w:rsidRDefault="00E12C5A" w:rsidP="00E12C5A">
      <w:pPr>
        <w:widowControl/>
        <w:ind w:left="284" w:right="116"/>
        <w:jc w:val="both"/>
        <w:rPr>
          <w:rFonts w:ascii="Garamond" w:hAnsi="Garamond"/>
          <w:b/>
          <w:sz w:val="22"/>
          <w:szCs w:val="22"/>
        </w:rPr>
      </w:pPr>
      <w:r w:rsidRPr="00283E81">
        <w:rPr>
          <w:rFonts w:ascii="Garamond" w:hAnsi="Garamond"/>
          <w:b/>
          <w:sz w:val="22"/>
          <w:szCs w:val="22"/>
        </w:rPr>
        <w:t xml:space="preserve">REQUISITOS JURIDICOS HABILITANTES </w:t>
      </w:r>
    </w:p>
    <w:p w14:paraId="0AA55001" w14:textId="77777777" w:rsidR="00E12C5A" w:rsidRPr="00283E81" w:rsidRDefault="00E12C5A" w:rsidP="00E12C5A">
      <w:pPr>
        <w:widowControl/>
        <w:ind w:left="284" w:right="116"/>
        <w:jc w:val="both"/>
        <w:rPr>
          <w:rFonts w:ascii="Garamond" w:hAnsi="Garamond"/>
          <w:sz w:val="22"/>
          <w:szCs w:val="22"/>
        </w:rPr>
      </w:pPr>
    </w:p>
    <w:p w14:paraId="02FAFE9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FORMATO 1 – CARTA DE PRESENTACIÓN DE LA PROPUESTA. ´</w:t>
      </w:r>
    </w:p>
    <w:p w14:paraId="7205EA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1375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presentar el Formato 1 – Carta de Presentación de la Oferta el cual debe ir firmado por la persona natural proponente o por el representante legal del proponente individual o plural o por el apoderado.</w:t>
      </w:r>
    </w:p>
    <w:p w14:paraId="4D8BA4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ab/>
        <w:t xml:space="preserve"> </w:t>
      </w:r>
    </w:p>
    <w:p w14:paraId="0121199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virtud de lo previsto en la Ley 842 de 2003 y con el fin de evitar el ejercicio ilegal de la Ingeniería, la persona natural (proponente individual o integrante de la estructura plural) que pretenda participar en el presente proceso, debe acreditar que posee título como ingeniero, para lo cual debe adjuntar copia de la tarjeta profesional y copia del certificado de vigencia de matrícula profesional expedida por el </w:t>
      </w:r>
      <w:proofErr w:type="spellStart"/>
      <w:r w:rsidRPr="00283E81">
        <w:rPr>
          <w:rFonts w:ascii="Garamond" w:hAnsi="Garamond"/>
          <w:color w:val="000000"/>
          <w:sz w:val="22"/>
          <w:szCs w:val="22"/>
        </w:rPr>
        <w:t>Copnia</w:t>
      </w:r>
      <w:proofErr w:type="spellEnd"/>
      <w:r w:rsidRPr="00283E81">
        <w:rPr>
          <w:rFonts w:ascii="Garamond" w:hAnsi="Garamond"/>
          <w:color w:val="000000"/>
          <w:sz w:val="22"/>
          <w:szCs w:val="22"/>
        </w:rPr>
        <w:t xml:space="preserve"> o Consejo Profesional de Ingeniería de Transportes y Vías de Colombia en la respectiva rama de la ingeniería, según corresponda, vigente a la fecha de cierre de este Proceso de selección. El requisito de la tarjeta profesional se puede suplir con el registro de que trata el artículo 18 del Decreto 2106 de 2019.  </w:t>
      </w:r>
    </w:p>
    <w:p w14:paraId="6DE020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4A49F7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 acuerdo con en el artículo 20 de la Ley 842 de 2003, si el representante legal o apoderado del proponente individual persona jurídica o el representante legal o apoderado de la estructura plural, no posee título de una de las profesiones catalogadas como ejercicio de la ingeniería, la oferta debe ser avalada por un ingeniero, para lo cual debe adjuntar copia de la tarjeta profesional y copia del certificado de vigencia de matrícula profesional expedida por el </w:t>
      </w:r>
      <w:proofErr w:type="spellStart"/>
      <w:r w:rsidRPr="00283E81">
        <w:rPr>
          <w:rFonts w:ascii="Garamond" w:hAnsi="Garamond"/>
          <w:color w:val="000000"/>
          <w:sz w:val="22"/>
          <w:szCs w:val="22"/>
        </w:rPr>
        <w:t>Copnia</w:t>
      </w:r>
      <w:proofErr w:type="spellEnd"/>
      <w:r w:rsidRPr="00283E81">
        <w:rPr>
          <w:rFonts w:ascii="Garamond" w:hAnsi="Garamond"/>
          <w:color w:val="000000"/>
          <w:sz w:val="22"/>
          <w:szCs w:val="22"/>
        </w:rPr>
        <w:t xml:space="preserve"> o Consejo Profesional de Ingeniería de Transportes y Vías de Colombia, en la respectiva rama de la ingeniería, según corresponda, vigente a la fecha de cierre de este proceso de selección. El requisito de la tarjeta profesional se puede suplir con el registro de que trata el artículo 18 del Decreto 2106 de 2019. </w:t>
      </w:r>
    </w:p>
    <w:p w14:paraId="12A7F9E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512C0D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aval del ingeniero de que trata el artículo 20 de la Ley 842 de 2003 hace parte integral del Formato 1 – Carta de presentación de la oferta, cuando el proponente deba presentarlo.</w:t>
      </w:r>
    </w:p>
    <w:p w14:paraId="221E4D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7F7FE34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carta de presentación debe suscribirse. Con la firma de este documento se entiende que el proponente conoce y acepta las obligaciones del Anexo 4 – Pacto de Transparencia y, por lo tanto, no será necesaria la entrega de este documento al momento de presentar la oferta. </w:t>
      </w:r>
    </w:p>
    <w:p w14:paraId="683E69D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3D702C1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diligenciar los Formatos. Todos los espacios en blanco deben diligenciarse con la información solicitada</w:t>
      </w:r>
    </w:p>
    <w:p w14:paraId="13590C6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A3EC52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APODERADOS  </w:t>
      </w:r>
    </w:p>
    <w:p w14:paraId="351D75C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3C379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podrán presentar ofertas directamente o suscritas por intermedio de apoderado, evento en el cual deben anexar el poder, otorgado en legal forma (artículo 5 del Decreto – Ley 019 de 2012), en el que se confiera al apoderado de manera clara y expresa facultades amplias y suficientes para actuar, obligar y responsabilizar a quien(es) representa en el trámite del presente proceso y en la suscripción del contrato. No obstante, la simple entrega física o radicación de la oferta en la Entidad puede realizarla cualquier persona, sin necesidad de poder o autorización. </w:t>
      </w:r>
    </w:p>
    <w:p w14:paraId="0F2EB0E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45FF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apoderado que firma la oferta podrá ser una persona natural o jurídica, que en todo caso debe tener domicilio permanente, para efectos de este proceso, en la República de Colombia, y debe estar facultado para representar al proponente y/o a todos los integrantes del proponente plural, a efectos de adelantar en su nombre de manera específica las siguientes actividades: (i) presentar oferta para el proceso de contratación de que trata este pliego;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responder a los requerimientos y aclaraciones solicitados por la entidad en el curso del presente proceso;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recibir las notificaciones a que haya lugar dentro del proceso </w:t>
      </w:r>
      <w:r w:rsidRPr="00283E81">
        <w:rPr>
          <w:rFonts w:ascii="Garamond" w:hAnsi="Garamond"/>
          <w:color w:val="000000"/>
          <w:sz w:val="22"/>
          <w:szCs w:val="22"/>
        </w:rPr>
        <w:lastRenderedPageBreak/>
        <w:t>(</w:t>
      </w:r>
      <w:proofErr w:type="spellStart"/>
      <w:r w:rsidRPr="00283E81">
        <w:rPr>
          <w:rFonts w:ascii="Garamond" w:hAnsi="Garamond"/>
          <w:color w:val="000000"/>
          <w:sz w:val="22"/>
          <w:szCs w:val="22"/>
        </w:rPr>
        <w:t>iv</w:t>
      </w:r>
      <w:proofErr w:type="spellEnd"/>
      <w:r w:rsidRPr="00283E81">
        <w:rPr>
          <w:rFonts w:ascii="Garamond" w:hAnsi="Garamond"/>
          <w:color w:val="000000"/>
          <w:sz w:val="22"/>
          <w:szCs w:val="22"/>
        </w:rPr>
        <w:t>) suscribir el contrato en nombre y representación del adjudicatario así como el acta de terminación y liquidación, si a ello hubiere lugar.</w:t>
      </w:r>
    </w:p>
    <w:p w14:paraId="515E89A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2D39D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Las personas extranjeras que participen mediante un proponente plural podrán constituir un solo apoderado común y, en tal caso, bastará para todos los efectos la presentación del poder común otorgado por todos los integrantes con los requisitos de autenticación, legalización o apostilla y traducción exigidos en el Código de Comercio, incluyendo los señalados en el pliego de condiciones. El poder a que se refiere este párrafo podrá otorgarse en el mismo acto de constitución del proponente plural. </w:t>
      </w:r>
    </w:p>
    <w:p w14:paraId="7B3F4C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62263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EXISTENCIA Y REPRESENTACIÓN LEGAL Y AUTORIZACIÓN</w:t>
      </w:r>
    </w:p>
    <w:p w14:paraId="3E5FF0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19A62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existencia y representación legal de los Proponentes individuales o miembros de los Proponentes Plurales se acreditará de acuerdo con las siguientes reglas:</w:t>
      </w:r>
    </w:p>
    <w:p w14:paraId="1ABCCAB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BA10D8"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PERSONAS NATURALES</w:t>
      </w:r>
    </w:p>
    <w:p w14:paraId="18251A8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27880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Deben presentar los siguientes documentos en copia simple: </w:t>
      </w:r>
    </w:p>
    <w:p w14:paraId="43F68E3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4BA9B76"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natural de nacionalidad colombiana: cédula de ciudadanía.</w:t>
      </w:r>
    </w:p>
    <w:p w14:paraId="65EAE2A5"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Persona natural extranjera con residencia en Colombia: cédula de extranjería vigente expedida por la autoridad competente. </w:t>
      </w:r>
    </w:p>
    <w:p w14:paraId="7F05B98A"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natural extranjera sin domicilio en Colombia: pasaporte.</w:t>
      </w:r>
    </w:p>
    <w:p w14:paraId="19ABEF0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FD97D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PERSONAS JURÍDICAS</w:t>
      </w:r>
    </w:p>
    <w:p w14:paraId="62B5F03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8CD25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Deben presentar los siguientes documentos: </w:t>
      </w:r>
    </w:p>
    <w:p w14:paraId="7135CF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630454"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Persona jurídica nacional o extranjera con sucursal en Colombia: </w:t>
      </w:r>
    </w:p>
    <w:p w14:paraId="49A9D6D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3A4E003"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Certificado de existencia y representación legal expedido por la Cámara de Comercio o autoridad competente en el que se verificará:</w:t>
      </w:r>
    </w:p>
    <w:p w14:paraId="3732930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A3E64E2"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Fecha de expedición del certificado no mayor a treinta (30) días calendario anteriores a la fecha de cierre del Proceso de Contratación. En caso de modificarse la fecha de cierre del proceso, se tendrá como referencia para establecer el plazo de vigencia del certificado de existencia y representación legal la fecha originalmente establecida en el Pliego de Condiciones definitivo.</w:t>
      </w:r>
    </w:p>
    <w:p w14:paraId="36B0EB93"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Que el objeto de la sociedad permita ejecutar las actividades descritas en el objeto del presente Proceso de Contratación. </w:t>
      </w:r>
    </w:p>
    <w:p w14:paraId="3C4A2618"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Las personas jurídicas nacionales y extranjeras deberán acreditar que su duración no será inferior a la del plazo del contrato y un año más.</w:t>
      </w:r>
    </w:p>
    <w:p w14:paraId="03A42956"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Representante Legal de la sociedad tiene restricciones para contraer obligaciones en nombre de la misma, deberá acreditar su capacidad a través de una autorización suficiente otorgada por parte del órgano social competente respectivo para cada caso. </w:t>
      </w:r>
    </w:p>
    <w:p w14:paraId="4BD267B6"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El nombramiento del revisor fiscal en caso que exista.</w:t>
      </w:r>
    </w:p>
    <w:p w14:paraId="61E1960B"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Que las personas jurídicas extranjeras con actividades permanentes en la República de Colombia (Contratos de obra o servicios) deberán estar legalmente establecidas en el territorio nacional de acuerdo con los artículos 471 y 474 del Código de Comercio.</w:t>
      </w:r>
    </w:p>
    <w:p w14:paraId="264617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01C00E"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Certificación del Revisor Fiscal en caso de ser sociedad anónima colombiana, en la que conste si es abierta o cerrada.</w:t>
      </w:r>
    </w:p>
    <w:p w14:paraId="6031B8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7BD654"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Fotocopia del documento de identificación del representante legal.</w:t>
      </w:r>
    </w:p>
    <w:p w14:paraId="1FDA33F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108C12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el caso de las Sucursales de las personas jurídicas extranjeras y como quiera que la Sucursal en Colombia no es una persona jurídica diferente a la matriz, se tendrá en cuenta la fecha de constitución de esta última. </w:t>
      </w:r>
    </w:p>
    <w:p w14:paraId="17E7E6D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6908E5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la Oferta es suscrita por una persona jurídica extranjera a través de la sucursal debidamente constituida en Colombia, deberá acreditar la existencia de la sucursal y la capacidad jurídica de su representante o apoderado, mediante la presentación del Certificado del Registro Único de Proponentes y Certificado de existencia y representación legal con fecha de expedición máximo de 30 días calendarios antes de la fecha de cierre del presente proceso de selección por la Cámara de Comercio. Cuando el representante legal de la sucursal tenga restricciones para contraer obligaciones, deberá acreditar autorización suficiente del órgano competente social respectivo para contraer obligaciones en nombre de la sociedad. La ausencia definitiva de autorización suficiente o el no aporte de dicho documento una vez solicitado por la Entidad, determinará la falta de capacidad jurídica para presentar la oferta.</w:t>
      </w:r>
    </w:p>
    <w:p w14:paraId="62B27D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474FBF8"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jurídica extranjera sin Sucursal o domicilio en Colombia: Documentos que acrediten la existencia y representación legal de la sociedad extranjera, presentados de conformidad con lo establecido en el presente Pliego de Condiciones, en el que debe constar, como mínimo los siguientes aspectos:</w:t>
      </w:r>
    </w:p>
    <w:p w14:paraId="46F350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F65398F"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o razón social completa.</w:t>
      </w:r>
    </w:p>
    <w:p w14:paraId="695E2014"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del Representante Legal o de la persona facultada para comprometer a la persona jurídica.</w:t>
      </w:r>
    </w:p>
    <w:p w14:paraId="5B01864A"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Que el objeto de la sociedad permita ejecutar las actividades descritas en el objeto del presente Proceso de Contratación.</w:t>
      </w:r>
    </w:p>
    <w:p w14:paraId="6489BBB8"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Facultades del representante legal o de la persona facultada para comprometer a la persona jurídica, en la que se señale expresamente que el representante no tiene limitaciones para contraer obligaciones en nombre de la misma o aportando la autorización o documento correspondiente del órgano social competente respectivo para cada caso. </w:t>
      </w:r>
    </w:p>
    <w:p w14:paraId="12F35ED5"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Tipo, número y fecha del documento de constitución o creación. </w:t>
      </w:r>
    </w:p>
    <w:p w14:paraId="1D89D4D1"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Fecha y clase de documento por el cual se reconoce la personería jurídica.</w:t>
      </w:r>
    </w:p>
    <w:p w14:paraId="4BB61BAF"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que su duración no será inferior a la del plazo del contrato y un año más.</w:t>
      </w:r>
    </w:p>
    <w:p w14:paraId="2450E689"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Fotocopia del documento de identificación del representante legal</w:t>
      </w:r>
    </w:p>
    <w:p w14:paraId="4EA8E71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0B5541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Si no existiese ninguna autoridad o entidad que certifique la totalidad de la información de existencia y representación legal, el Proponente o miembro extranjero del Proponente Plural deberá presentar una declaración juramentada de una persona con capacidad jurídica para vincular y representar a la sociedad en </w:t>
      </w:r>
      <w:r w:rsidRPr="00283E81">
        <w:rPr>
          <w:rFonts w:ascii="Garamond" w:hAnsi="Garamond"/>
          <w:color w:val="000000"/>
          <w:sz w:val="22"/>
          <w:szCs w:val="22"/>
        </w:rPr>
        <w:lastRenderedPageBreak/>
        <w:t>la que conste que: (i) no existe autoridad u organismo que certifique lo solicitado en el presente numeral;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la información requerida en el presente literal,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la capacidad jurídica para vincular y representar a la sociedad de la persona que efectúa la declaración, así como de las demás personas que puedan representar y vincular a la sociedad, si las hay.</w:t>
      </w:r>
    </w:p>
    <w:p w14:paraId="0767B2D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0441288"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Entidades Estatales: Deben presentar los siguientes documentos para acreditar su existencia:</w:t>
      </w:r>
    </w:p>
    <w:p w14:paraId="3E87C8F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Acto de creación de la Entidad Estatal. </w:t>
      </w:r>
    </w:p>
    <w:p w14:paraId="7A368D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9CF9C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Este puede ser ley, decreto, ordenanza, acuerdo o certificado de existencia y representación legal (este último no mayor a treinta (30) días calendario anteriores a la fecha de cierre del Proceso de Contratación) o documento equivalente que permita conocer la naturaleza jurídica, funciones, órganos de dirección, régimen jurídico de contratación de la Entidad Estatal.</w:t>
      </w:r>
    </w:p>
    <w:p w14:paraId="4CC1F8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855A0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NOTA:</w:t>
      </w:r>
      <w:r w:rsidRPr="00283E81">
        <w:rPr>
          <w:rFonts w:ascii="Garamond" w:hAnsi="Garamond"/>
          <w:color w:val="000000"/>
          <w:sz w:val="22"/>
          <w:szCs w:val="22"/>
        </w:rPr>
        <w:t xml:space="preserve"> En el evento de personas jurídicas no obligadas a aportar el certificado de existencia y representación legal, deberán aportar un documento equivalente que acredite su existencia, junto con los documentos que demuestren la capacidad del representante legal de la entidad o sociedad a contratar, en el cual se verificará:  </w:t>
      </w:r>
    </w:p>
    <w:p w14:paraId="17F94F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26D5353"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Fecha de expedición del documento equivalente que acredite su existencia. </w:t>
      </w:r>
    </w:p>
    <w:p w14:paraId="47226A19"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Que el objeto incluya las actividades principales objeto del presente proceso. </w:t>
      </w:r>
    </w:p>
    <w:p w14:paraId="0E4D1DD9"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duración deberá ser por lo menos igual al plazo estimado del contrato y un (1) año más.</w:t>
      </w:r>
    </w:p>
    <w:p w14:paraId="3F7EBC5D"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Para efectos del pliego de condiciones, el plazo de ejecución del contrato será el indicado en el numeral “1.1 Objeto, presupuesto oficial, plazo y ubicación”. </w:t>
      </w:r>
    </w:p>
    <w:p w14:paraId="7C0D0DE7"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representante legal tiene restricciones para contraer obligaciones en nombre de la misma, deberá acreditar autorización suficiente del órgano competente social respectivo para contraer obligaciones en nombre de la sociedad o entidad. </w:t>
      </w:r>
    </w:p>
    <w:p w14:paraId="1BDB5A1F"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La ausencia definitiva de autorización suficiente o el no aporte de dicho documento una vez solicitado por la entidad, determinará la falta de capacidad jurídica para presentar la oferta, y por tanto su rechazo. </w:t>
      </w:r>
    </w:p>
    <w:p w14:paraId="491D0CD6"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nombramiento del revisor fiscal en caso de que exista.</w:t>
      </w:r>
    </w:p>
    <w:p w14:paraId="7A8242B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2461934"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color w:val="000000"/>
          <w:sz w:val="22"/>
          <w:szCs w:val="22"/>
        </w:rPr>
        <w:t xml:space="preserve"> </w:t>
      </w:r>
      <w:r w:rsidRPr="00283E81">
        <w:rPr>
          <w:rFonts w:ascii="Garamond" w:hAnsi="Garamond"/>
          <w:b/>
          <w:color w:val="000000"/>
          <w:sz w:val="22"/>
          <w:szCs w:val="22"/>
        </w:rPr>
        <w:t>INHABILIDADES, INCOMPATIBILIDADES Y CONFLICTOS DE INTERESES</w:t>
      </w:r>
    </w:p>
    <w:p w14:paraId="0641DF0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8168C4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Quienes participen en este proceso de selección, no podrán encontrarse incursos dentro de alguna de las causales de inhabilidad o incompatibilidad para contratar a que se refieren la Constitución Política, el artículo 8 de la Ley 80 de 1993, el artículo 113 de la Ley 489 de 1998, el artículo 18 de la Ley 1150 de 2007, el numeral 4 del artículo 38 de la Ley 734 de 2002, la Ley 842 de 2003, la Ley 1474 de 2011 y demás normas concordantes. El Proponente declarará en el Formato 1 la Carta de Presentación de la Propuesta que no se encuentra incurso dentro de ninguna causal de inhabilidades e incompatibilidad.</w:t>
      </w:r>
    </w:p>
    <w:p w14:paraId="04104D1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6B632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el caso de Consorcios o Uniones Temporales, ninguno de sus integrantes podrá estar incursos en alguna causal de inhabilidad o incompatibilidad o prohibiciones para contratar con el Estado, establecidas en la Constitución Política y en la Ley. </w:t>
      </w:r>
    </w:p>
    <w:p w14:paraId="32C6735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24339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ningún caso una misma persona (natural o jurídica, nacional o extranjera) podrá presentar más de una Propuesta y/o hacer parte de más de un Proponente. Se entenderá que una misma persona ha presentado más de una Propuesta cuando diferentes Propuestas sean presentadas por: i) varias sociedades controladas por una misma matriz –directa o indirectamente-,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una sociedad y su matriz –directa o indirectamente.</w:t>
      </w:r>
    </w:p>
    <w:p w14:paraId="681136D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7717EC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5818A4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69D72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CONFLICTO DE INTERÉS CONSTITUCIONAL O LEGAL</w:t>
      </w:r>
    </w:p>
    <w:p w14:paraId="2B70957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921DD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No podrán participar en el procedimiento de selección y, por tanto, no serán objeto de evaluación, ni podrán ser adjudicatarios, quienes bajo cualquier circunstancia se encuentren en situaciones de conflicto de interés, que afecten o pongan en riesgo los principios de la contratación pública, de acuerdo con las causales o circunstancias previstas en la Constitución o la ley.</w:t>
      </w:r>
    </w:p>
    <w:p w14:paraId="433976F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E95DB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Tampoco podrán participar quienes hayan </w:t>
      </w:r>
      <w:r w:rsidRPr="00283E81">
        <w:rPr>
          <w:rFonts w:ascii="Garamond" w:hAnsi="Garamond"/>
          <w:sz w:val="22"/>
          <w:szCs w:val="22"/>
        </w:rPr>
        <w:t>realizado</w:t>
      </w:r>
      <w:r w:rsidRPr="00283E81">
        <w:rPr>
          <w:rFonts w:ascii="Garamond" w:hAnsi="Garamond"/>
          <w:color w:val="000000"/>
          <w:sz w:val="22"/>
          <w:szCs w:val="22"/>
        </w:rPr>
        <w:t xml:space="preserve"> los estudios y diseños de la obra cuyo proceso de contratación se va a contratar.</w:t>
      </w:r>
    </w:p>
    <w:p w14:paraId="2600EB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C53569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PROPONENTES PLURALES</w:t>
      </w:r>
    </w:p>
    <w:p w14:paraId="742D8A9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22B85E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FORMATO 2 – CONFORMACIÓN DE PROPONENTE PLURAL</w:t>
      </w:r>
    </w:p>
    <w:p w14:paraId="2ABB97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9C11A3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documento de conformación de Proponentes Plurales debe: </w:t>
      </w:r>
    </w:p>
    <w:p w14:paraId="0018BBF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FF03E9C"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la existencia del proponente plural y clasificarlo en Unión Temporal o Consorcio. En este documento los integrantes deben expresar su intención de conformar el proponente plural. En caso que no exista claridad sobre el tipo de asociación se solicitará la aclaración. Los proponentes deben incluir como mínimo la información requerida en el Formato 2 – Conformación de Proponente Plural (Formato 2A – Consorcios) (Formato 2B – Uniones Temporales). Los proponentes podrán incluir información adicional que no contradiga lo dispuesto en los documentos del proceso.</w:t>
      </w:r>
    </w:p>
    <w:p w14:paraId="4E9EC9E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CB390BC"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el nombramiento de un representante y un suplente cuya intervención deberá quedar definida en el Formato 2 – Conformación de Proponente Plural (Formato 2A – Consorcios) (Formato 2B – Uniones Temporales), de todas las personas naturales y/o jurídicas asociadas, con facultades suficientes para la representación sin limitaciones de todos y cada uno de los integrantes, en todos los aspectos que se requieran para la presentación de la oferta, para la suscripción y ejecución del contrato, así como también la facultad para firmar el acta de terminación y liquidación.</w:t>
      </w:r>
    </w:p>
    <w:p w14:paraId="4FC4478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7F8C79B"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Aportar fotocopia de la cedula de ciudadanía del representante principal y suplente de la estructura plural.</w:t>
      </w:r>
    </w:p>
    <w:p w14:paraId="5E0E5CA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062ABE"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 xml:space="preserve">Acreditar que la vigencia de la estructura plural no sea inferior al del plazo del contrato y un año adicional. Para efectos de la evaluación, este plazo será contado a partir de la fecha del cierre del Proceso de Contratación. </w:t>
      </w:r>
    </w:p>
    <w:p w14:paraId="4FA2A9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4670A7"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Proponente Plural debe señalar expresamente cual es el porcentaje de participación de cada uno de sus miembros. La sumatoria del porcentaje de participación no podrá ser diferente al 100%.</w:t>
      </w:r>
    </w:p>
    <w:p w14:paraId="5F5C838B"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7B2F5345"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En la etapa contractual no podrán modificarse los porcentajes de participación sin el consentimiento previo de la Entidad. En todo caso, en la etapa precontractual no será posible modificar los porcentajes de los integrantes del Proponente Plural después de la fecha del cierre del Proceso de Contratación. Cualquier modificación en los porcentajes de los integrantes será ineficaz y, por tanto, carecerá de efecto. </w:t>
      </w:r>
    </w:p>
    <w:p w14:paraId="619A6D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C756B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Dicho documento debe estar firmado por todos y cada uno de los integrantes del Proponente Plural y en el caso del integrante persona jurídica, por el Representante Legal de dicha o por el apoderado de cualquiera de los anteriores.</w:t>
      </w:r>
    </w:p>
    <w:p w14:paraId="3F990BF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D6DFEB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CERTIFICACIÓN DE PAGOS DE SEGURIDAD SOCIAL Y APORTES LEGALES </w:t>
      </w:r>
    </w:p>
    <w:p w14:paraId="2FD0A9F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3151E4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 JURÍDICAS</w:t>
      </w:r>
    </w:p>
    <w:p w14:paraId="0C386B4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B796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persona jurídica debe presentar el Formato 6 – Pagos de seguridad social y aportes legales suscrito por el revisor fiscal, de acuerdo con los requerimientos de ley o por el representante legal, bajo la gravedad del juramento, cuando no se requiera revisor fiscal, en el que conste el pago de los aportes de sus empleados a los sistemas de salud, riesgos profesionales, pensiones y aportes a las Cajas de Compensación Familiar, al Instituto Colombiano de Bienestar Familiar, al Servicio Nacional de Aprendizaje y  al Fondo Nacional de Formación Profesional para la Industria de Construcción, cuando a ello haya lugar. </w:t>
      </w:r>
    </w:p>
    <w:p w14:paraId="2BADB60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22E0B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entidad no exigirá las planillas de pago. Bastará el certificado suscrito por el revisor fiscal, en los casos requeridos por la ley, o por el representante legal que así lo acredite. </w:t>
      </w:r>
    </w:p>
    <w:p w14:paraId="7B71AF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36A60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la persona jurídica está exonerada en los términos previstos en el artículo 65 de la Ley 1819 de 2016 debe indicarlo en el Formato 6 – Pagos de seguridad social y aportes legales.</w:t>
      </w:r>
    </w:p>
    <w:p w14:paraId="32FBE8E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5226B0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Esta misma previsión aplica para las personas jurídicas extranjeras con domicilio o sucursal en Colombia, las cuales deben acreditar este requisito respecto del personal vinculado en Colombia.</w:t>
      </w:r>
    </w:p>
    <w:p w14:paraId="1470396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05783D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PERSONAS NATURALES </w:t>
      </w:r>
    </w:p>
    <w:p w14:paraId="286A351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826BC0" w14:textId="0B43342F"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persona natural debe acreditar la afiliación a los sistemas de seguridad social en salud y pensiones, aportando los certificados de afiliación respectivos o con el certificado de pago de la correspondiente planilla. </w:t>
      </w:r>
    </w:p>
    <w:p w14:paraId="5F6C5C6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22738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Los certificados de afiliación se deben presentar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w:t>
      </w:r>
    </w:p>
    <w:p w14:paraId="53B5CE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B7D01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persona natural que reúna los requisitos para acceder a la pensión de vejez, o se pensione por invalidez o anticipadamente, presentará el certificado que lo acredite y, además, la afiliación al sistema de salud.</w:t>
      </w:r>
    </w:p>
    <w:p w14:paraId="26B6C8B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 </w:t>
      </w:r>
    </w:p>
    <w:p w14:paraId="4D3EDD7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Esta misma previsión aplica para las personas naturales extranjeras con domicilio en Colombia las cuales deberán acreditar este requisito respecto del personal vinculado en Colombia.</w:t>
      </w:r>
    </w:p>
    <w:p w14:paraId="7FC2DA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134600A"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PROPONENTES PLURALES </w:t>
      </w:r>
    </w:p>
    <w:p w14:paraId="015563B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3DFDFC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Cada uno de los integrantes del Proponente Plural debe suscribir por separado la declaración de la que tratan los anteriores numerales.</w:t>
      </w:r>
    </w:p>
    <w:p w14:paraId="7E982C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E00AA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SEGURIDAD SOCIAL PARA LA SUSCRIPCIÓN DEL CONTRATO </w:t>
      </w:r>
    </w:p>
    <w:p w14:paraId="6406822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BC4DA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adjudicatario debe presentar, para la suscripción del respectivo Contrato, ante la dependencia respectiva, la declaración donde acredite el pago correspondiente a seguridad social y aportes legales cuando a ello haya lugar. </w:t>
      </w:r>
    </w:p>
    <w:p w14:paraId="1AFB51E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6814BF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 caso de que el adjudicatario, persona natural o jurídica, no tenga o haya tenido dentro de los seis (6) meses anteriores a la fecha de firma del Contrato personal a cargo y por ende no esté obligado a efectuar el pago de aportes legales y seguridad social debe indicar esta circunstancia en la mencionada certificación, bajo la gravedad de juramento.</w:t>
      </w:r>
    </w:p>
    <w:p w14:paraId="194C9FD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9CFC2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ACREDITACIÓN DEL PAGO AL SISTEMA DE SEGURIDAD SOCIAL DURANTE LA EJECUCIÓN DEL CONTRATO</w:t>
      </w:r>
    </w:p>
    <w:p w14:paraId="408175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196BDB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 El contratista debe acreditar, para realizar cada pago del contrato, que se encuentra al día en los aportes parafiscales relativos al Sistema de Seguridad Social Integral, así como los propios del Sena, ICBF y Cajas de Compensación Familiar, cuando corresponda.</w:t>
      </w:r>
    </w:p>
    <w:p w14:paraId="4EF84E5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6E3844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GARANTÍA DE SERIEDAD DE LA PROPUESTA. </w:t>
      </w:r>
    </w:p>
    <w:p w14:paraId="015581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84704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presentar con la propuesta una Garantía de seriedad de la oferta que cumpla con los parámetros, condiciones y requisitos que se indican en este numeral.</w:t>
      </w:r>
    </w:p>
    <w:p w14:paraId="678A9A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B44645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19CA87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9C4779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 xml:space="preserve">Las características de las garantías son las siguientes: </w:t>
      </w:r>
    </w:p>
    <w:p w14:paraId="512C404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9AAE9F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8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2"/>
        <w:gridCol w:w="5707"/>
      </w:tblGrid>
      <w:tr w:rsidR="00E12C5A" w:rsidRPr="00283E81" w14:paraId="0FA8F7CE"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1CDF74F7" w14:textId="77777777" w:rsidR="00E12C5A" w:rsidRPr="00283E81" w:rsidRDefault="00E12C5A" w:rsidP="00A111D3">
            <w:pPr>
              <w:ind w:left="284" w:right="116"/>
              <w:jc w:val="center"/>
              <w:rPr>
                <w:rFonts w:ascii="Garamond" w:hAnsi="Garamond"/>
                <w:color w:val="FFFFFF"/>
                <w:sz w:val="22"/>
                <w:szCs w:val="22"/>
              </w:rPr>
            </w:pPr>
            <w:r w:rsidRPr="00283E81">
              <w:rPr>
                <w:rFonts w:ascii="Garamond" w:hAnsi="Garamond"/>
                <w:color w:val="FFFFFF"/>
                <w:sz w:val="22"/>
                <w:szCs w:val="22"/>
              </w:rPr>
              <w:t>Característica</w:t>
            </w:r>
          </w:p>
        </w:tc>
        <w:tc>
          <w:tcPr>
            <w:tcW w:w="570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396EA58" w14:textId="77777777" w:rsidR="00E12C5A" w:rsidRPr="00283E81" w:rsidRDefault="00E12C5A" w:rsidP="00A111D3">
            <w:pPr>
              <w:ind w:left="284" w:right="116"/>
              <w:jc w:val="center"/>
              <w:rPr>
                <w:rFonts w:ascii="Garamond" w:hAnsi="Garamond"/>
                <w:color w:val="FFFFFF"/>
                <w:sz w:val="22"/>
                <w:szCs w:val="22"/>
              </w:rPr>
            </w:pPr>
            <w:r w:rsidRPr="00283E81">
              <w:rPr>
                <w:rFonts w:ascii="Garamond" w:hAnsi="Garamond"/>
                <w:color w:val="FFFFFF"/>
                <w:sz w:val="22"/>
                <w:szCs w:val="22"/>
              </w:rPr>
              <w:t>Condición</w:t>
            </w:r>
          </w:p>
        </w:tc>
      </w:tr>
      <w:tr w:rsidR="00E12C5A" w:rsidRPr="00283E81" w14:paraId="34B98881"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60375866"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Clase</w:t>
            </w:r>
          </w:p>
        </w:tc>
        <w:tc>
          <w:tcPr>
            <w:tcW w:w="5707" w:type="dxa"/>
            <w:tcBorders>
              <w:top w:val="single" w:sz="4" w:space="0" w:color="000000"/>
              <w:left w:val="single" w:sz="4" w:space="0" w:color="000000"/>
              <w:bottom w:val="single" w:sz="4" w:space="0" w:color="000000"/>
              <w:right w:val="single" w:sz="4" w:space="0" w:color="000000"/>
            </w:tcBorders>
            <w:vAlign w:val="center"/>
          </w:tcPr>
          <w:p w14:paraId="4647349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Cualquiera de las clases permitidas por el artículo 2.2.1.2.3.1.2 del Decreto 1082 de 2015, a saber: (i) Contrato de seguro contenido en una póliza, (</w:t>
            </w:r>
            <w:proofErr w:type="spellStart"/>
            <w:r w:rsidRPr="00283E81">
              <w:rPr>
                <w:rFonts w:ascii="Garamond" w:hAnsi="Garamond"/>
                <w:sz w:val="22"/>
                <w:szCs w:val="22"/>
              </w:rPr>
              <w:t>ii</w:t>
            </w:r>
            <w:proofErr w:type="spellEnd"/>
            <w:r w:rsidRPr="00283E81">
              <w:rPr>
                <w:rFonts w:ascii="Garamond" w:hAnsi="Garamond"/>
                <w:sz w:val="22"/>
                <w:szCs w:val="22"/>
              </w:rPr>
              <w:t>) Patrimonio autónomo y (</w:t>
            </w:r>
            <w:proofErr w:type="spellStart"/>
            <w:r w:rsidRPr="00283E81">
              <w:rPr>
                <w:rFonts w:ascii="Garamond" w:hAnsi="Garamond"/>
                <w:sz w:val="22"/>
                <w:szCs w:val="22"/>
              </w:rPr>
              <w:t>iii</w:t>
            </w:r>
            <w:proofErr w:type="spellEnd"/>
            <w:r w:rsidRPr="00283E81">
              <w:rPr>
                <w:rFonts w:ascii="Garamond" w:hAnsi="Garamond"/>
                <w:sz w:val="22"/>
                <w:szCs w:val="22"/>
              </w:rPr>
              <w:t>) Garantía Bancaria.</w:t>
            </w:r>
          </w:p>
        </w:tc>
      </w:tr>
      <w:tr w:rsidR="00E12C5A" w:rsidRPr="00283E81" w14:paraId="44D3F638"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4CB69C2C"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Asegurado/ beneficiario</w:t>
            </w:r>
          </w:p>
        </w:tc>
        <w:tc>
          <w:tcPr>
            <w:tcW w:w="5707" w:type="dxa"/>
            <w:tcBorders>
              <w:top w:val="single" w:sz="4" w:space="0" w:color="000000"/>
              <w:left w:val="single" w:sz="4" w:space="0" w:color="000000"/>
              <w:bottom w:val="single" w:sz="4" w:space="0" w:color="000000"/>
              <w:right w:val="single" w:sz="4" w:space="0" w:color="000000"/>
            </w:tcBorders>
            <w:vAlign w:val="center"/>
          </w:tcPr>
          <w:p w14:paraId="14921FA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Fondo de Desarrollo Local de Fontibón identificada con NIT 899.999.061-9</w:t>
            </w:r>
          </w:p>
        </w:tc>
      </w:tr>
      <w:tr w:rsidR="00E12C5A" w:rsidRPr="00283E81" w14:paraId="4092BDD1"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1299ABEC"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Amparos</w:t>
            </w:r>
          </w:p>
        </w:tc>
        <w:tc>
          <w:tcPr>
            <w:tcW w:w="5707" w:type="dxa"/>
            <w:tcBorders>
              <w:top w:val="single" w:sz="4" w:space="0" w:color="000000"/>
              <w:left w:val="single" w:sz="4" w:space="0" w:color="000000"/>
              <w:bottom w:val="single" w:sz="4" w:space="0" w:color="000000"/>
              <w:right w:val="single" w:sz="4" w:space="0" w:color="000000"/>
            </w:tcBorders>
            <w:vAlign w:val="center"/>
          </w:tcPr>
          <w:p w14:paraId="2C652D9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Los perjuicios derivados del incumplimiento del ofrecimiento en los eventos señalados en el artículo 2.2.1.2.3.1.6 del Decreto 1082 de 2015.</w:t>
            </w:r>
          </w:p>
        </w:tc>
      </w:tr>
      <w:tr w:rsidR="00E12C5A" w:rsidRPr="00283E81" w14:paraId="5F18F2DE"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5888CB19"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Vigencia</w:t>
            </w:r>
          </w:p>
        </w:tc>
        <w:tc>
          <w:tcPr>
            <w:tcW w:w="5707" w:type="dxa"/>
            <w:tcBorders>
              <w:top w:val="single" w:sz="4" w:space="0" w:color="000000"/>
              <w:left w:val="single" w:sz="4" w:space="0" w:color="000000"/>
              <w:bottom w:val="single" w:sz="4" w:space="0" w:color="000000"/>
              <w:right w:val="single" w:sz="4" w:space="0" w:color="000000"/>
            </w:tcBorders>
            <w:vAlign w:val="center"/>
          </w:tcPr>
          <w:p w14:paraId="12E4659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 xml:space="preserve">3 meses contados a partir de la fecha de cierre del proceso de contratación. </w:t>
            </w:r>
          </w:p>
        </w:tc>
      </w:tr>
      <w:tr w:rsidR="00E12C5A" w:rsidRPr="00283E81" w14:paraId="326E3B8A"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5B2A1945"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Valor Asegurado</w:t>
            </w:r>
          </w:p>
        </w:tc>
        <w:tc>
          <w:tcPr>
            <w:tcW w:w="5707" w:type="dxa"/>
            <w:tcBorders>
              <w:top w:val="single" w:sz="4" w:space="0" w:color="000000"/>
              <w:left w:val="single" w:sz="4" w:space="0" w:color="000000"/>
              <w:bottom w:val="single" w:sz="4" w:space="0" w:color="000000"/>
              <w:right w:val="single" w:sz="4" w:space="0" w:color="000000"/>
            </w:tcBorders>
            <w:vAlign w:val="center"/>
          </w:tcPr>
          <w:p w14:paraId="7918581C"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 xml:space="preserve">Diez por ciento (10%) del Presupuesto Oficial del Proceso de Selección </w:t>
            </w:r>
          </w:p>
          <w:p w14:paraId="35F92787" w14:textId="77777777" w:rsidR="00E12C5A" w:rsidRPr="00283E81" w:rsidRDefault="00E12C5A" w:rsidP="00A111D3">
            <w:pPr>
              <w:ind w:left="284" w:right="116"/>
              <w:jc w:val="both"/>
              <w:rPr>
                <w:rFonts w:ascii="Garamond" w:hAnsi="Garamond"/>
                <w:sz w:val="22"/>
                <w:szCs w:val="22"/>
              </w:rPr>
            </w:pPr>
          </w:p>
        </w:tc>
      </w:tr>
      <w:tr w:rsidR="00E12C5A" w:rsidRPr="00283E81" w14:paraId="44D998F4"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49EEDA46"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 xml:space="preserve">Tomador </w:t>
            </w:r>
          </w:p>
        </w:tc>
        <w:tc>
          <w:tcPr>
            <w:tcW w:w="5707" w:type="dxa"/>
            <w:tcBorders>
              <w:top w:val="single" w:sz="4" w:space="0" w:color="000000"/>
              <w:left w:val="single" w:sz="4" w:space="0" w:color="000000"/>
              <w:bottom w:val="single" w:sz="4" w:space="0" w:color="000000"/>
              <w:right w:val="single" w:sz="4" w:space="0" w:color="000000"/>
            </w:tcBorders>
            <w:vAlign w:val="center"/>
          </w:tcPr>
          <w:p w14:paraId="6B3891A9" w14:textId="77777777" w:rsidR="00E12C5A" w:rsidRPr="00283E81" w:rsidRDefault="00E12C5A" w:rsidP="003400E2">
            <w:pPr>
              <w:widowControl/>
              <w:numPr>
                <w:ilvl w:val="0"/>
                <w:numId w:val="71"/>
              </w:numPr>
              <w:pBdr>
                <w:top w:val="nil"/>
                <w:left w:val="nil"/>
                <w:bottom w:val="nil"/>
                <w:right w:val="nil"/>
                <w:between w:val="nil"/>
              </w:pBdr>
              <w:suppressAutoHyphens w:val="0"/>
              <w:autoSpaceDN/>
              <w:ind w:left="284" w:right="116" w:firstLine="0"/>
              <w:jc w:val="both"/>
              <w:textAlignment w:val="auto"/>
              <w:rPr>
                <w:rFonts w:ascii="Garamond" w:hAnsi="Garamond"/>
                <w:color w:val="3B3838"/>
                <w:sz w:val="22"/>
                <w:szCs w:val="22"/>
              </w:rPr>
            </w:pPr>
            <w:r w:rsidRPr="00283E81">
              <w:rPr>
                <w:rFonts w:ascii="Garamond" w:hAnsi="Garamond"/>
                <w:color w:val="3B3838"/>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7438DF40" w14:textId="77777777" w:rsidR="00E12C5A" w:rsidRPr="00283E81" w:rsidRDefault="00E12C5A" w:rsidP="003400E2">
            <w:pPr>
              <w:widowControl/>
              <w:numPr>
                <w:ilvl w:val="0"/>
                <w:numId w:val="71"/>
              </w:numPr>
              <w:pBdr>
                <w:top w:val="nil"/>
                <w:left w:val="nil"/>
                <w:bottom w:val="nil"/>
                <w:right w:val="nil"/>
                <w:between w:val="nil"/>
              </w:pBdr>
              <w:suppressAutoHyphens w:val="0"/>
              <w:autoSpaceDN/>
              <w:ind w:left="284" w:right="116" w:firstLine="0"/>
              <w:jc w:val="both"/>
              <w:textAlignment w:val="auto"/>
              <w:rPr>
                <w:rFonts w:ascii="Garamond" w:hAnsi="Garamond"/>
                <w:color w:val="3B3838"/>
                <w:sz w:val="22"/>
                <w:szCs w:val="22"/>
              </w:rPr>
            </w:pPr>
            <w:r w:rsidRPr="00283E81">
              <w:rPr>
                <w:rFonts w:ascii="Garamond" w:hAnsi="Garamond"/>
                <w:color w:val="3B3838"/>
                <w:sz w:val="22"/>
                <w:szCs w:val="22"/>
              </w:rPr>
              <w:t xml:space="preserve">Para los Proponentes Plurales: la Garantía deberá ser otorgada por todos los integrantes del Proponente Plural, para lo cual se deberá relacionar claramente los integrantes, su identificación y porcentaje de participación, quienes para todos los efectos serán los otorgantes de la misma. </w:t>
            </w:r>
          </w:p>
        </w:tc>
      </w:tr>
    </w:tbl>
    <w:p w14:paraId="6ACDA87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C51002" w14:textId="77777777" w:rsidR="00E12C5A" w:rsidRPr="00283E81" w:rsidRDefault="00E12C5A" w:rsidP="00E12C5A">
      <w:pPr>
        <w:widowControl/>
        <w:pBdr>
          <w:top w:val="nil"/>
          <w:left w:val="nil"/>
          <w:bottom w:val="nil"/>
          <w:right w:val="nil"/>
          <w:between w:val="nil"/>
        </w:pBdr>
        <w:tabs>
          <w:tab w:val="left" w:pos="9781"/>
        </w:tabs>
        <w:ind w:left="284" w:right="116"/>
        <w:jc w:val="both"/>
        <w:rPr>
          <w:rFonts w:ascii="Garamond" w:hAnsi="Garamond"/>
          <w:color w:val="000000"/>
          <w:sz w:val="22"/>
          <w:szCs w:val="22"/>
        </w:rPr>
      </w:pPr>
      <w:r w:rsidRPr="00283E81">
        <w:rPr>
          <w:rFonts w:ascii="Garamond" w:hAnsi="Garamond"/>
          <w:color w:val="000000"/>
          <w:sz w:val="22"/>
          <w:szCs w:val="22"/>
        </w:rPr>
        <w:t>Si en desarrollo del proceso de selección se modifica el cronograma, el Proponente deberá ampliar la vigencia de la Garantía de seriedad de la oferta hasta tanto no se haya perfeccionado y cumplido los requisitos de ejecución del respectivo contrato.</w:t>
      </w:r>
    </w:p>
    <w:p w14:paraId="190405D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6150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124873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007BA7B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ANTECEDENTES FISCALES, DISCIPLINARIOS Y PENALES</w:t>
      </w:r>
    </w:p>
    <w:p w14:paraId="22DCE18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EC5DD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Ni el proponente ni ninguno de sus integrantes en caso de ser plural, podrán estar reportados, para el momento del cierre del proceso y para la suscripción del contrato, en el boletín de responsables fiscales, antecedentes disciplinarios de la procuraduría y antecedentes de policía nacional, el proponente podrá aportar los respectivos certificados con su oferta, con fecha de expedición no mayor a 30 días calendario, no obstante, el FDLF verificará lo pertinente en las páginas web respectivas.</w:t>
      </w:r>
    </w:p>
    <w:p w14:paraId="57D05A5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25EE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1D4B778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362F7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MULTAS POR INFRACCIONES AL CÓDIGO NACIONAL DE SEGURIDAD Y CONVIVENCIA CIUDADANA. </w:t>
      </w:r>
    </w:p>
    <w:p w14:paraId="00C7E0D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F0A693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el momento del cierre del proceso y para la suscripción del contrato, el proponente y sus integrantes, en caso de ser proponente plural, deberán encontrarse al día en el pago de multas por infracciones al código nacional de policía y convivencia, en el Registro Nacional de Medidas Correctivas - RNMC de la Policía Nacional de Colombia. El proponente podrá aportar el respectivo certificado con su oferta, no obstante, el FDLF verificará lo pertinente en el portal de servicios de la Policía Nacional</w:t>
      </w:r>
    </w:p>
    <w:p w14:paraId="1D72F7D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E99B892" w14:textId="77777777" w:rsidR="00E12C5A" w:rsidRPr="00283E81" w:rsidRDefault="00573863" w:rsidP="00E12C5A">
      <w:pPr>
        <w:widowControl/>
        <w:pBdr>
          <w:top w:val="nil"/>
          <w:left w:val="nil"/>
          <w:bottom w:val="nil"/>
          <w:right w:val="nil"/>
          <w:between w:val="nil"/>
        </w:pBdr>
        <w:ind w:left="284" w:right="116"/>
        <w:jc w:val="both"/>
        <w:rPr>
          <w:rFonts w:ascii="Garamond" w:hAnsi="Garamond"/>
          <w:color w:val="000000"/>
          <w:sz w:val="22"/>
          <w:szCs w:val="22"/>
        </w:rPr>
      </w:pPr>
      <w:hyperlink r:id="rId14">
        <w:r w:rsidR="00E12C5A" w:rsidRPr="00283E81">
          <w:rPr>
            <w:rFonts w:ascii="Garamond" w:hAnsi="Garamond"/>
            <w:color w:val="000080"/>
            <w:sz w:val="22"/>
            <w:szCs w:val="22"/>
            <w:u w:val="single"/>
          </w:rPr>
          <w:t>https://srvpsi.policia.gov.co/PSC/frm_cnp_consulta.aspx</w:t>
        </w:r>
      </w:hyperlink>
      <w:r w:rsidR="00E12C5A" w:rsidRPr="00283E81">
        <w:rPr>
          <w:rFonts w:ascii="Garamond" w:hAnsi="Garamond"/>
          <w:color w:val="000000"/>
          <w:sz w:val="22"/>
          <w:szCs w:val="22"/>
        </w:rPr>
        <w:t>.</w:t>
      </w:r>
    </w:p>
    <w:p w14:paraId="4A4A9E9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B36F2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realizar la verificación por parte de le entidad se requiere que el proponente y sus integrantes, en caso de ser proponente plural, remitan con su oferta la copia de la cédula de ciudadanía en la que se pueda verificar la fecha de expedición de la misma.</w:t>
      </w:r>
    </w:p>
    <w:p w14:paraId="1DBB487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D8B4C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789C40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D64A6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Nota:</w:t>
      </w:r>
      <w:r w:rsidRPr="00283E81">
        <w:rPr>
          <w:rFonts w:ascii="Garamond" w:hAnsi="Garamond"/>
          <w:color w:val="000000"/>
          <w:sz w:val="22"/>
          <w:szCs w:val="22"/>
        </w:rPr>
        <w:t xml:space="preserve"> De conformidad con lo estipulado por la Secretaria Jurídica Distrital de la Alcaldía Mayor de Bogotá D.C., mediante la Directiva 016 de 2018 del 5 de julio del mismo año, en el evento en que la página web que ha dispuesto la Policía Nacional para dicha consulta no se encuentre actualizada, se tendrá en cuenta el recibo de pago que aporte el proponente para tal efecto.</w:t>
      </w:r>
    </w:p>
    <w:p w14:paraId="395386F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6C7F4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DOCUMENTOS OTORGADOS EN EL EXTERIOR</w:t>
      </w:r>
    </w:p>
    <w:p w14:paraId="615AA0D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CD8B2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documentos públicos expedidos en el exterior, por un país signatario de la Convención de La Haya de 1961, sobre la abolición del requisito de legalización, deben apostillarse; en cambio, los documentos públicos expedidos en el exterior, por un país signatario de la Convención de Viena de 1963, deben legalizarse. Los documentos privados otorgados en el extranjero no requieren apostilla ni legalización, salvo los que con posterioridad sean intervenidos por un funcionario público, en cuyo caso requieren apostille o legalización, en la forma indicada antes.</w:t>
      </w:r>
    </w:p>
    <w:p w14:paraId="50331F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465A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Para efectos del trámite de Apostilla o Legalización de documentos otorgados en el exterior y la acreditación de la formación académica obtenida en el exterior, las entidades deberán aplicar los parámetros establecidos en las normas que regulen la materia.</w:t>
      </w:r>
    </w:p>
    <w:p w14:paraId="2A0E5B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3C8CA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REGISTRO DE DEUDORES ALIMENTARIOS MOROSOS – REDAM</w:t>
      </w:r>
      <w:r w:rsidRPr="00283E81">
        <w:rPr>
          <w:rFonts w:ascii="Garamond" w:hAnsi="Garamond"/>
          <w:color w:val="000000"/>
          <w:sz w:val="22"/>
          <w:szCs w:val="22"/>
        </w:rPr>
        <w:t xml:space="preserve">. </w:t>
      </w:r>
    </w:p>
    <w:p w14:paraId="490518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9B189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conformidad con lo dispuesto en el numeral 1 del artículo 6 la ley 2097 de 2021, “</w:t>
      </w:r>
      <w:r w:rsidRPr="00283E81">
        <w:rPr>
          <w:rFonts w:ascii="Garamond" w:hAnsi="Garamond"/>
          <w:i/>
          <w:color w:val="000000"/>
          <w:sz w:val="22"/>
          <w:szCs w:val="22"/>
        </w:rPr>
        <w:t>El deudor alimentario moroso sólo podrá contratar con el Estado una vez se ponga a paz y salvo con sus obligaciones alimentarias. Esta inhabilidad también se predica del deudor alimentario moroso que actúe como representante legal de la persona jurídica que aspira a contratar con el Estado</w:t>
      </w:r>
      <w:r w:rsidRPr="00283E81">
        <w:rPr>
          <w:rFonts w:ascii="Garamond" w:hAnsi="Garamond"/>
          <w:color w:val="000000"/>
          <w:sz w:val="22"/>
          <w:szCs w:val="22"/>
        </w:rPr>
        <w:t xml:space="preserve">”. Por consiguiente, el proponente persona natural o el representante legal de la persona jurídica proponte singular o integrante de proponente plural, deberá aportar la certificación donde conste que NO SE ENCUENTRA INSCRITO EN EL REGISTRO DE DEUDORES ALIMENTARIOS MOROSOS - REDAM, emitida por el Ministerio de Tecnologías de la Información y las Comunicaciones – MINTIC, la cual puede ser descargada en el Portal Único del Estado Colombiano | GOV.CO ([http://www.gov.co)] [http://www.gov.co)] </w:t>
      </w:r>
    </w:p>
    <w:p w14:paraId="500B2B6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8DD4E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DOCUMENTOS PARA LA SUSCRIPCIÓN DEL CONTRATO</w:t>
      </w:r>
    </w:p>
    <w:p w14:paraId="772CA53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6CBE5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adjudicatario deberá entregar una vez adjudicado el proceso, los siguientes documentos:</w:t>
      </w:r>
    </w:p>
    <w:p w14:paraId="572CB54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3421BD"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Registro Único Tributario –RUT</w:t>
      </w:r>
    </w:p>
    <w:p w14:paraId="0FFF368A"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Registro de Información Tributaria –RIT</w:t>
      </w:r>
    </w:p>
    <w:p w14:paraId="4CDC0EAB"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Certificación bancaria </w:t>
      </w:r>
    </w:p>
    <w:p w14:paraId="312B9B5A" w14:textId="77777777" w:rsidR="00E12C5A" w:rsidRPr="00283E81" w:rsidRDefault="00E12C5A" w:rsidP="00E12C5A">
      <w:pPr>
        <w:widowControl/>
        <w:ind w:left="284" w:right="116"/>
        <w:jc w:val="both"/>
        <w:rPr>
          <w:rFonts w:ascii="Garamond" w:hAnsi="Garamond"/>
          <w:sz w:val="22"/>
          <w:szCs w:val="22"/>
        </w:rPr>
      </w:pPr>
    </w:p>
    <w:p w14:paraId="70F38E61" w14:textId="77777777" w:rsidR="00E12C5A" w:rsidRPr="00283E81" w:rsidRDefault="00E12C5A" w:rsidP="00E12C5A">
      <w:pPr>
        <w:keepNext/>
        <w:keepLines/>
        <w:spacing w:before="40"/>
        <w:ind w:left="284" w:right="116"/>
        <w:jc w:val="both"/>
        <w:rPr>
          <w:rFonts w:ascii="Garamond" w:hAnsi="Garamond"/>
          <w:b/>
          <w:color w:val="000000"/>
          <w:sz w:val="22"/>
          <w:szCs w:val="22"/>
        </w:rPr>
      </w:pPr>
      <w:r w:rsidRPr="00283E81">
        <w:rPr>
          <w:rFonts w:ascii="Garamond" w:hAnsi="Garamond"/>
          <w:b/>
          <w:color w:val="000000"/>
          <w:sz w:val="22"/>
          <w:szCs w:val="22"/>
        </w:rPr>
        <w:t>CAPACIDAD TÉCNICA</w:t>
      </w:r>
    </w:p>
    <w:p w14:paraId="4AAA1267" w14:textId="77777777" w:rsidR="00E12C5A" w:rsidRPr="00283E81" w:rsidRDefault="00E12C5A" w:rsidP="00E12C5A">
      <w:pPr>
        <w:ind w:left="284" w:right="116"/>
        <w:jc w:val="both"/>
        <w:rPr>
          <w:rFonts w:ascii="Garamond" w:hAnsi="Garamond" w:cs="Times New Roman"/>
          <w:sz w:val="22"/>
          <w:szCs w:val="22"/>
        </w:rPr>
      </w:pPr>
    </w:p>
    <w:p w14:paraId="7990DA4C"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12" w:name="_heading=h.8dnf9rtete2" w:colFirst="0" w:colLast="0"/>
      <w:bookmarkEnd w:id="12"/>
      <w:r w:rsidRPr="00283E81">
        <w:rPr>
          <w:rFonts w:ascii="Garamond" w:hAnsi="Garamond"/>
          <w:b/>
          <w:color w:val="000000"/>
          <w:sz w:val="22"/>
          <w:szCs w:val="22"/>
        </w:rPr>
        <w:t>5.1.2.1. EXPERIENCIA DEL PROPONENTE</w:t>
      </w:r>
    </w:p>
    <w:p w14:paraId="4513907E" w14:textId="77777777" w:rsidR="00E12C5A" w:rsidRPr="00283E81" w:rsidRDefault="00E12C5A" w:rsidP="00E12C5A">
      <w:pPr>
        <w:widowControl/>
        <w:ind w:left="284" w:right="116"/>
        <w:jc w:val="both"/>
        <w:rPr>
          <w:rFonts w:ascii="Garamond" w:hAnsi="Garamond"/>
          <w:sz w:val="22"/>
          <w:szCs w:val="22"/>
        </w:rPr>
      </w:pPr>
    </w:p>
    <w:p w14:paraId="01A0291A"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 xml:space="preserve">Los Proponentes deben acreditar su experiencia a través de: i) la información consignada en el RUP para aquellos que estén obligados a tenerlo, </w:t>
      </w:r>
      <w:proofErr w:type="spellStart"/>
      <w:r w:rsidRPr="00283E81">
        <w:rPr>
          <w:rFonts w:ascii="Garamond" w:hAnsi="Garamond"/>
          <w:sz w:val="22"/>
          <w:szCs w:val="22"/>
        </w:rPr>
        <w:t>ii</w:t>
      </w:r>
      <w:proofErr w:type="spellEnd"/>
      <w:r w:rsidRPr="00283E81">
        <w:rPr>
          <w:rFonts w:ascii="Garamond" w:hAnsi="Garamond"/>
          <w:sz w:val="22"/>
          <w:szCs w:val="22"/>
        </w:rPr>
        <w:t xml:space="preserve">) la presentación del </w:t>
      </w:r>
      <w:r w:rsidRPr="00283E81">
        <w:rPr>
          <w:rFonts w:ascii="Garamond" w:hAnsi="Garamond"/>
          <w:sz w:val="22"/>
          <w:szCs w:val="22"/>
        </w:rPr>
        <w:fldChar w:fldCharType="begin"/>
      </w:r>
      <w:r w:rsidRPr="00283E81">
        <w:rPr>
          <w:rFonts w:ascii="Garamond" w:hAnsi="Garamond"/>
          <w:sz w:val="22"/>
          <w:szCs w:val="22"/>
        </w:rPr>
        <w:instrText xml:space="preserve"> REF _Ref508649424 \h  \* MERGEFORMAT </w:instrText>
      </w:r>
      <w:r w:rsidRPr="00283E81">
        <w:rPr>
          <w:rFonts w:ascii="Garamond" w:hAnsi="Garamond"/>
          <w:sz w:val="22"/>
          <w:szCs w:val="22"/>
        </w:rPr>
      </w:r>
      <w:r w:rsidRPr="00283E81">
        <w:rPr>
          <w:rFonts w:ascii="Garamond" w:hAnsi="Garamond"/>
          <w:sz w:val="22"/>
          <w:szCs w:val="22"/>
        </w:rPr>
        <w:fldChar w:fldCharType="separate"/>
      </w:r>
      <w:r w:rsidRPr="00283E81">
        <w:rPr>
          <w:rFonts w:ascii="Garamond" w:hAnsi="Garamond"/>
          <w:sz w:val="22"/>
          <w:szCs w:val="22"/>
        </w:rPr>
        <w:t>Formato 3 – Experiencia</w:t>
      </w:r>
      <w:r w:rsidRPr="00283E81">
        <w:rPr>
          <w:rFonts w:ascii="Garamond" w:hAnsi="Garamond"/>
          <w:sz w:val="22"/>
          <w:szCs w:val="22"/>
        </w:rPr>
        <w:fldChar w:fldCharType="end"/>
      </w:r>
      <w:r w:rsidRPr="00283E81">
        <w:rPr>
          <w:rFonts w:ascii="Garamond" w:hAnsi="Garamond"/>
          <w:sz w:val="22"/>
          <w:szCs w:val="22"/>
        </w:rPr>
        <w:t xml:space="preserve"> para todos los Proponentes y </w:t>
      </w:r>
      <w:proofErr w:type="spellStart"/>
      <w:r w:rsidRPr="00283E81">
        <w:rPr>
          <w:rFonts w:ascii="Garamond" w:hAnsi="Garamond"/>
          <w:sz w:val="22"/>
          <w:szCs w:val="22"/>
        </w:rPr>
        <w:t>iii</w:t>
      </w:r>
      <w:proofErr w:type="spellEnd"/>
      <w:r w:rsidRPr="00283E81">
        <w:rPr>
          <w:rFonts w:ascii="Garamond" w:hAnsi="Garamond"/>
          <w:sz w:val="22"/>
          <w:szCs w:val="22"/>
        </w:rPr>
        <w:t>) alguno de los documentos válidos para la acreditación de la experiencia, señalados en el numeral 3.5.5 cuando se requiera la verificación de información del Proponente adicional a la contenida en el RUP.</w:t>
      </w:r>
    </w:p>
    <w:p w14:paraId="7855888F"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La evaluación de los Proponentes se efectuará de acuerdo con la experiencia contenida en el Registro Único de Proponentes (RUP) vigente y en firme antes del cierre del proceso.</w:t>
      </w:r>
    </w:p>
    <w:p w14:paraId="0464C60C"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 xml:space="preserve">Los Proponentes podrán acreditar experiencia proveniente de Contratos celebrados con particulares o entidades estatales. </w:t>
      </w:r>
    </w:p>
    <w:p w14:paraId="77ACE962" w14:textId="77777777" w:rsidR="00DE0DA8" w:rsidRPr="00283E81" w:rsidRDefault="00DE0DA8" w:rsidP="00E12C5A">
      <w:pPr>
        <w:widowControl/>
        <w:ind w:left="284" w:right="116"/>
        <w:jc w:val="both"/>
        <w:rPr>
          <w:rFonts w:ascii="Garamond" w:hAnsi="Garamond"/>
          <w:sz w:val="22"/>
          <w:szCs w:val="22"/>
        </w:rPr>
      </w:pPr>
    </w:p>
    <w:p w14:paraId="1A9B076B" w14:textId="5E1F73DE"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Cada uno de los contratos aportados como experiencia deberá estar clasificado en alguno de los siguientes códigos:</w:t>
      </w:r>
    </w:p>
    <w:p w14:paraId="48785EF3" w14:textId="77777777" w:rsidR="00E12C5A" w:rsidRPr="00283E81" w:rsidRDefault="00E12C5A" w:rsidP="00E12C5A">
      <w:pPr>
        <w:widowControl/>
        <w:ind w:left="284" w:right="116"/>
        <w:jc w:val="both"/>
        <w:rPr>
          <w:rFonts w:ascii="Garamond" w:hAnsi="Garamond"/>
          <w:sz w:val="22"/>
          <w:szCs w:val="22"/>
        </w:rPr>
      </w:pPr>
    </w:p>
    <w:tbl>
      <w:tblPr>
        <w:tblW w:w="9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0"/>
        <w:gridCol w:w="2941"/>
        <w:gridCol w:w="2424"/>
        <w:gridCol w:w="2499"/>
      </w:tblGrid>
      <w:tr w:rsidR="00E12C5A" w:rsidRPr="00283E81" w14:paraId="766DB1ED" w14:textId="77777777" w:rsidTr="00A111D3">
        <w:trPr>
          <w:trHeight w:val="567"/>
        </w:trPr>
        <w:tc>
          <w:tcPr>
            <w:tcW w:w="1530" w:type="dxa"/>
            <w:shd w:val="clear" w:color="auto" w:fill="F2F2F2"/>
            <w:tcMar>
              <w:top w:w="0" w:type="dxa"/>
              <w:left w:w="70" w:type="dxa"/>
              <w:bottom w:w="0" w:type="dxa"/>
              <w:right w:w="70" w:type="dxa"/>
            </w:tcMar>
            <w:vAlign w:val="center"/>
          </w:tcPr>
          <w:p w14:paraId="4CDF6A44"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lastRenderedPageBreak/>
              <w:t>Clasificación UNSPSC</w:t>
            </w:r>
          </w:p>
        </w:tc>
        <w:tc>
          <w:tcPr>
            <w:tcW w:w="2941" w:type="dxa"/>
            <w:shd w:val="clear" w:color="auto" w:fill="F2F2F2"/>
            <w:tcMar>
              <w:top w:w="0" w:type="dxa"/>
              <w:left w:w="70" w:type="dxa"/>
              <w:bottom w:w="0" w:type="dxa"/>
              <w:right w:w="70" w:type="dxa"/>
            </w:tcMar>
            <w:vAlign w:val="center"/>
          </w:tcPr>
          <w:p w14:paraId="31FC9250"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Segmento</w:t>
            </w:r>
          </w:p>
        </w:tc>
        <w:tc>
          <w:tcPr>
            <w:tcW w:w="2424" w:type="dxa"/>
            <w:shd w:val="clear" w:color="auto" w:fill="F2F2F2"/>
            <w:tcMar>
              <w:top w:w="0" w:type="dxa"/>
              <w:left w:w="70" w:type="dxa"/>
              <w:bottom w:w="0" w:type="dxa"/>
              <w:right w:w="70" w:type="dxa"/>
            </w:tcMar>
            <w:vAlign w:val="center"/>
          </w:tcPr>
          <w:p w14:paraId="4185D836"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Familia</w:t>
            </w:r>
          </w:p>
        </w:tc>
        <w:tc>
          <w:tcPr>
            <w:tcW w:w="2499" w:type="dxa"/>
            <w:shd w:val="clear" w:color="auto" w:fill="F2F2F2"/>
            <w:tcMar>
              <w:top w:w="0" w:type="dxa"/>
              <w:left w:w="70" w:type="dxa"/>
              <w:bottom w:w="0" w:type="dxa"/>
              <w:right w:w="70" w:type="dxa"/>
            </w:tcMar>
            <w:vAlign w:val="center"/>
          </w:tcPr>
          <w:p w14:paraId="46C45E97"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Clase</w:t>
            </w:r>
          </w:p>
        </w:tc>
      </w:tr>
      <w:tr w:rsidR="00E12C5A" w:rsidRPr="00283E81" w14:paraId="4DF59AD3"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4FC09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72101500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9C457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0D227DB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3D9CE2"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9B88E4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3836FD2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9AA66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37EE59B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 de apoyo a la construcción</w:t>
            </w:r>
          </w:p>
        </w:tc>
      </w:tr>
      <w:tr w:rsidR="00E12C5A" w:rsidRPr="00283E81" w14:paraId="7ADCF2C0"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2417175"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72102900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AA896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4066A7A3"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39E2E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0C32EE1"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0AEA61F5"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BC9CFD"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29</w:t>
            </w:r>
          </w:p>
          <w:p w14:paraId="4ADF7D76"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mantenimiento y reparación de instalaciones</w:t>
            </w:r>
          </w:p>
        </w:tc>
      </w:tr>
      <w:tr w:rsidR="00E12C5A" w:rsidRPr="00283E81" w14:paraId="491000B6"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959BC9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72103300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A5BF75"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3BAEBEFA"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E13DA2"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11064E4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39F53516"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02512E"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33</w:t>
            </w:r>
          </w:p>
          <w:p w14:paraId="66F1106D"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mantenimiento y reparación de infraestructura</w:t>
            </w:r>
          </w:p>
        </w:tc>
      </w:tr>
      <w:tr w:rsidR="00E12C5A" w:rsidRPr="00283E81" w14:paraId="6C1E2D49"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5F81B2A"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81101500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EF99E3" w14:textId="77777777" w:rsidR="00180A6B" w:rsidRPr="00283E81" w:rsidRDefault="00180A6B" w:rsidP="00180A6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FEF65AB" w14:textId="77777777" w:rsidR="00180A6B" w:rsidRPr="00283E81" w:rsidRDefault="00180A6B" w:rsidP="00180A6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1A36D3F5" w14:textId="3E1C208C" w:rsidR="00E12C5A" w:rsidRPr="00283E81" w:rsidRDefault="00180A6B" w:rsidP="00180A6B">
            <w:pPr>
              <w:ind w:right="116"/>
              <w:jc w:val="both"/>
              <w:rPr>
                <w:rFonts w:ascii="Garamond" w:hAnsi="Garamond"/>
                <w:sz w:val="22"/>
                <w:szCs w:val="22"/>
              </w:rPr>
            </w:pPr>
            <w:r w:rsidRPr="00283E81">
              <w:rPr>
                <w:rFonts w:ascii="Garamond" w:hAnsi="Garamond"/>
                <w:sz w:val="22"/>
                <w:szCs w:val="22"/>
              </w:rPr>
              <w:t>Administrativos</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6E0C3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4CD8366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profesionales de ingeniería y</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AC211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6F7EBCC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Ingeniería civil y arquitectura</w:t>
            </w:r>
          </w:p>
        </w:tc>
      </w:tr>
      <w:tr w:rsidR="00E12C5A" w:rsidRPr="00283E81" w14:paraId="42CA3B6F"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CBC2C8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81101600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04026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46DC92A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16F26F0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Administrativos</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9A240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4D64FB21"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asesoría de gestión</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03120E"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16</w:t>
            </w:r>
          </w:p>
          <w:p w14:paraId="2ED88099"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Gerencia de proyectos</w:t>
            </w:r>
          </w:p>
        </w:tc>
      </w:tr>
    </w:tbl>
    <w:p w14:paraId="6356E099"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br/>
      </w:r>
    </w:p>
    <w:p w14:paraId="16F32E2B"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Proponentes deben acreditar su experiencia a través de: (i) la información consignada en el RUP para aquellos que estén obligados a tenerlo, (</w:t>
      </w:r>
      <w:proofErr w:type="spellStart"/>
      <w:r w:rsidRPr="00283E81">
        <w:rPr>
          <w:rFonts w:ascii="Garamond" w:hAnsi="Garamond"/>
          <w:sz w:val="22"/>
          <w:szCs w:val="22"/>
        </w:rPr>
        <w:t>ii</w:t>
      </w:r>
      <w:proofErr w:type="spellEnd"/>
      <w:r w:rsidRPr="00283E81">
        <w:rPr>
          <w:rFonts w:ascii="Garamond" w:hAnsi="Garamond"/>
          <w:sz w:val="22"/>
          <w:szCs w:val="22"/>
        </w:rPr>
        <w:t>) la presentación el Formato 3 – Experiencia para todos los Proponentes y (</w:t>
      </w:r>
      <w:proofErr w:type="spellStart"/>
      <w:r w:rsidRPr="00283E81">
        <w:rPr>
          <w:rFonts w:ascii="Garamond" w:hAnsi="Garamond"/>
          <w:sz w:val="22"/>
          <w:szCs w:val="22"/>
        </w:rPr>
        <w:t>iii</w:t>
      </w:r>
      <w:proofErr w:type="spellEnd"/>
      <w:r w:rsidRPr="00283E81">
        <w:rPr>
          <w:rFonts w:ascii="Garamond" w:hAnsi="Garamond"/>
          <w:sz w:val="22"/>
          <w:szCs w:val="22"/>
        </w:rPr>
        <w:t>) alguno de los documentos válidos para la acreditación de la experiencia señalados en el numeral 3.5.3 cuando se requiera la verificación de información del Proponente adicional a la contenida en el RUP. La evaluación de los Proponentes se efectuará de acuerdo con la experiencia contenida en el Registro Único de Proponentes (RUP) vigente y en firme antes del cierre del proceso. Los Proponentes podrán acreditar experiencia proveniente de Contratos celebrados con particulares o con Entidades Estatales. Por regla general, el Proponente solo puede acreditar la experiencia que ha obtenido y no la experiencia de su matriz, subsidiarias o integrantes del mismo grupo empresarial.</w:t>
      </w:r>
    </w:p>
    <w:p w14:paraId="0A3EE045" w14:textId="77777777" w:rsidR="00E12C5A" w:rsidRPr="00283E81" w:rsidRDefault="00E12C5A" w:rsidP="00E12C5A">
      <w:pPr>
        <w:widowControl/>
        <w:ind w:left="284" w:right="116"/>
        <w:jc w:val="both"/>
        <w:rPr>
          <w:rFonts w:ascii="Garamond" w:hAnsi="Garamond"/>
          <w:sz w:val="22"/>
          <w:szCs w:val="22"/>
        </w:rPr>
      </w:pPr>
    </w:p>
    <w:p w14:paraId="292E76D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CARACTERÍSTICAS DE LOS CONTRATOS PRESENTADOS PARA ACREDITAR LA EXPERIENCIA EXIGIDA</w:t>
      </w:r>
    </w:p>
    <w:p w14:paraId="769192F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BFA9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contratos para acreditar la experiencia exigida deberán cumplir las siguientes características:</w:t>
      </w:r>
    </w:p>
    <w:p w14:paraId="58C649A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040F90" w14:textId="5E1B7AF1" w:rsidR="00E12C5A" w:rsidRPr="00283E81" w:rsidRDefault="00E12C5A" w:rsidP="003400E2">
      <w:pPr>
        <w:widowControl/>
        <w:numPr>
          <w:ilvl w:val="0"/>
          <w:numId w:val="32"/>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color w:val="000000"/>
          <w:sz w:val="22"/>
          <w:szCs w:val="22"/>
        </w:rPr>
        <w:t xml:space="preserve">Que hayan contenido la ejecución de: </w:t>
      </w:r>
      <w:r w:rsidR="00FC0815" w:rsidRPr="00283E81">
        <w:rPr>
          <w:rFonts w:ascii="Garamond" w:hAnsi="Garamond"/>
          <w:b/>
          <w:color w:val="000000"/>
          <w:sz w:val="22"/>
          <w:szCs w:val="22"/>
        </w:rPr>
        <w:t>PROYECTOS QUE CORRESPONDAN Y/O CONTEMPLEN ACTIVIDADES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EDIFICACIONES</w:t>
      </w:r>
    </w:p>
    <w:p w14:paraId="18D5F2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2BAC95A" w14:textId="1795B8A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Tipos de Experiencias aplicables, según numeral 2.2 de la matriz 1 - EXPERIENCIA PARA PROYECTOS DE INFRAESTRUCTURA SOCIAL</w:t>
      </w:r>
      <w:r w:rsidR="00FC0815" w:rsidRPr="00283E81">
        <w:rPr>
          <w:rFonts w:ascii="Garamond" w:hAnsi="Garamond"/>
          <w:color w:val="000000"/>
          <w:sz w:val="22"/>
          <w:szCs w:val="22"/>
        </w:rPr>
        <w:t xml:space="preserve"> – SECTOR INSTITUCIONAL</w:t>
      </w:r>
    </w:p>
    <w:p w14:paraId="415D87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756" w:type="pct"/>
        <w:tblInd w:w="279" w:type="dxa"/>
        <w:tblCellMar>
          <w:left w:w="70" w:type="dxa"/>
          <w:right w:w="70" w:type="dxa"/>
        </w:tblCellMar>
        <w:tblLook w:val="04A0" w:firstRow="1" w:lastRow="0" w:firstColumn="1" w:lastColumn="0" w:noHBand="0" w:noVBand="1"/>
      </w:tblPr>
      <w:tblGrid>
        <w:gridCol w:w="1559"/>
        <w:gridCol w:w="7372"/>
      </w:tblGrid>
      <w:tr w:rsidR="00FC0815" w:rsidRPr="00283E81" w14:paraId="3F751F92" w14:textId="77777777" w:rsidTr="007F4A6F">
        <w:trPr>
          <w:trHeight w:val="1035"/>
        </w:trPr>
        <w:tc>
          <w:tcPr>
            <w:tcW w:w="873" w:type="pct"/>
            <w:tcBorders>
              <w:top w:val="single" w:sz="4" w:space="0" w:color="000000"/>
              <w:left w:val="single" w:sz="4" w:space="0" w:color="000000"/>
              <w:bottom w:val="single" w:sz="4" w:space="0" w:color="000000"/>
              <w:right w:val="single" w:sz="4" w:space="0" w:color="000000"/>
            </w:tcBorders>
            <w:vAlign w:val="center"/>
            <w:hideMark/>
          </w:tcPr>
          <w:p w14:paraId="09ED63B3" w14:textId="77777777"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GENERAL</w:t>
            </w:r>
          </w:p>
        </w:tc>
        <w:tc>
          <w:tcPr>
            <w:tcW w:w="4127" w:type="pct"/>
            <w:tcBorders>
              <w:top w:val="single" w:sz="4" w:space="0" w:color="000000"/>
              <w:left w:val="nil"/>
              <w:bottom w:val="single" w:sz="4" w:space="0" w:color="000000"/>
              <w:right w:val="single" w:sz="8" w:space="0" w:color="000000"/>
            </w:tcBorders>
            <w:vAlign w:val="center"/>
            <w:hideMark/>
          </w:tcPr>
          <w:p w14:paraId="73167436" w14:textId="77777777"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PROYECTOS QUE CORRESPONDAN Y/O CONTEMPLEN ACTIVIDADES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EDIFICACIONES</w:t>
            </w:r>
          </w:p>
        </w:tc>
      </w:tr>
      <w:tr w:rsidR="00FC0815" w:rsidRPr="00283E81" w14:paraId="51742E0A" w14:textId="77777777" w:rsidTr="007F4A6F">
        <w:trPr>
          <w:trHeight w:val="990"/>
        </w:trPr>
        <w:tc>
          <w:tcPr>
            <w:tcW w:w="873" w:type="pct"/>
            <w:tcBorders>
              <w:top w:val="single" w:sz="4" w:space="0" w:color="000000"/>
              <w:left w:val="single" w:sz="4" w:space="0" w:color="000000"/>
              <w:bottom w:val="single" w:sz="4" w:space="0" w:color="000000"/>
              <w:right w:val="single" w:sz="4" w:space="0" w:color="000000"/>
            </w:tcBorders>
            <w:vAlign w:val="center"/>
            <w:hideMark/>
          </w:tcPr>
          <w:p w14:paraId="0B4909DF" w14:textId="2B6493F9" w:rsidR="00FC0815" w:rsidRPr="00283E81" w:rsidRDefault="004F1B54"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ESPECIFICA</w:t>
            </w:r>
          </w:p>
        </w:tc>
        <w:tc>
          <w:tcPr>
            <w:tcW w:w="4127" w:type="pct"/>
            <w:tcBorders>
              <w:top w:val="single" w:sz="4" w:space="0" w:color="000000"/>
              <w:left w:val="nil"/>
              <w:bottom w:val="single" w:sz="4" w:space="0" w:color="000000"/>
              <w:right w:val="single" w:sz="8" w:space="0" w:color="000000"/>
            </w:tcBorders>
            <w:vAlign w:val="center"/>
            <w:hideMark/>
          </w:tcPr>
          <w:p w14:paraId="0C0C5DB9" w14:textId="62688394"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 xml:space="preserve">Por lo menos uno (1) de los contratos válidos aportados como experiencia general debe contemplar un área intervenida o construida igual o superior al </w:t>
            </w:r>
            <w:r w:rsidRPr="00283E81">
              <w:rPr>
                <w:rFonts w:ascii="Garamond" w:hAnsi="Garamond" w:cs="Calibri"/>
                <w:b/>
                <w:bCs/>
                <w:color w:val="000000"/>
                <w:kern w:val="0"/>
                <w:sz w:val="22"/>
                <w:szCs w:val="22"/>
                <w:lang w:eastAsia="es-CO" w:bidi="ar-SA"/>
              </w:rPr>
              <w:t>(30%)</w:t>
            </w:r>
            <w:r w:rsidRPr="00283E81">
              <w:rPr>
                <w:rFonts w:ascii="Garamond" w:hAnsi="Garamond" w:cs="Calibri"/>
                <w:color w:val="000000"/>
                <w:kern w:val="0"/>
                <w:sz w:val="22"/>
                <w:szCs w:val="22"/>
                <w:lang w:eastAsia="es-CO" w:bidi="ar-SA"/>
              </w:rPr>
              <w:t xml:space="preserve"> del total de metros cuadrados del proceso de selección, el cual corresponde a </w:t>
            </w:r>
            <w:r w:rsidR="00DD29CD" w:rsidRPr="00283E81">
              <w:rPr>
                <w:rFonts w:ascii="Garamond" w:hAnsi="Garamond" w:cs="Calibri"/>
                <w:kern w:val="0"/>
                <w:sz w:val="22"/>
                <w:szCs w:val="22"/>
                <w:lang w:eastAsia="es-CO" w:bidi="ar-SA"/>
              </w:rPr>
              <w:t>2600 m2</w:t>
            </w:r>
          </w:p>
        </w:tc>
      </w:tr>
    </w:tbl>
    <w:p w14:paraId="106CB11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D1EF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valor total de la experiencia se hará con base en la sumatoria de los valores totales ejecutados en SMMLV de los contratos que cumplan con los requisitos establecidos en el Pliego de Condiciones.</w:t>
      </w:r>
    </w:p>
    <w:p w14:paraId="74EB891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AF7EE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669" w:type="dxa"/>
        <w:tblInd w:w="11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37"/>
        <w:gridCol w:w="3832"/>
      </w:tblGrid>
      <w:tr w:rsidR="00E12C5A" w:rsidRPr="00283E81" w14:paraId="4FF29142" w14:textId="77777777" w:rsidTr="00A111D3">
        <w:trPr>
          <w:trHeight w:val="542"/>
        </w:trPr>
        <w:tc>
          <w:tcPr>
            <w:tcW w:w="3837" w:type="dxa"/>
          </w:tcPr>
          <w:p w14:paraId="647B3F6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PRESUPUESTO OFICIAL ($)</w:t>
            </w:r>
          </w:p>
        </w:tc>
        <w:tc>
          <w:tcPr>
            <w:tcW w:w="3832" w:type="dxa"/>
          </w:tcPr>
          <w:p w14:paraId="673C107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PRESUPUESTO OFICIAL</w:t>
            </w:r>
          </w:p>
          <w:p w14:paraId="065041A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(SMMLV)</w:t>
            </w:r>
          </w:p>
        </w:tc>
      </w:tr>
      <w:tr w:rsidR="003F0D5B" w:rsidRPr="00283E81" w14:paraId="0B3A6FD2" w14:textId="77777777" w:rsidTr="00A111D3">
        <w:trPr>
          <w:trHeight w:val="426"/>
        </w:trPr>
        <w:tc>
          <w:tcPr>
            <w:tcW w:w="3837" w:type="dxa"/>
          </w:tcPr>
          <w:p w14:paraId="27BB6DAA" w14:textId="008A3748" w:rsidR="003F0D5B" w:rsidRPr="00283E81" w:rsidRDefault="003F0D5B" w:rsidP="003F0D5B">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 xml:space="preserve"> $ 397.800.502 M/CTE</w:t>
            </w:r>
          </w:p>
        </w:tc>
        <w:tc>
          <w:tcPr>
            <w:tcW w:w="3832" w:type="dxa"/>
          </w:tcPr>
          <w:p w14:paraId="5C6AE0AF" w14:textId="40F82AAA" w:rsidR="003F0D5B" w:rsidRPr="00283E81" w:rsidRDefault="003F0D5B" w:rsidP="003F0D5B">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279.45 (SMMLV)</w:t>
            </w:r>
          </w:p>
        </w:tc>
      </w:tr>
    </w:tbl>
    <w:p w14:paraId="5BE0816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ED0925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3" w:name="_heading=h.oioq0eryfsqp" w:colFirst="0" w:colLast="0"/>
      <w:bookmarkEnd w:id="13"/>
      <w:r w:rsidRPr="00283E81">
        <w:rPr>
          <w:rFonts w:ascii="Garamond" w:hAnsi="Garamond"/>
          <w:b/>
          <w:color w:val="000000"/>
          <w:sz w:val="22"/>
          <w:szCs w:val="22"/>
        </w:rPr>
        <w:t xml:space="preserve">CONSIDERACIONES PARA LA VALIDEZ DE LA EXPERIENCIA REQUERIDA </w:t>
      </w:r>
    </w:p>
    <w:p w14:paraId="328B42F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393CC8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Entidad tendrá en cuenta los siguientes aspectos para analizar la experiencia acreditada y que la misma sea válida como experiencia requerida: </w:t>
      </w:r>
    </w:p>
    <w:p w14:paraId="20222C13" w14:textId="77777777" w:rsidR="003450B8" w:rsidRPr="00283E81" w:rsidRDefault="003450B8" w:rsidP="00E12C5A">
      <w:pPr>
        <w:widowControl/>
        <w:pBdr>
          <w:top w:val="nil"/>
          <w:left w:val="nil"/>
          <w:bottom w:val="nil"/>
          <w:right w:val="nil"/>
          <w:between w:val="nil"/>
        </w:pBdr>
        <w:ind w:left="284" w:right="116"/>
        <w:jc w:val="both"/>
        <w:rPr>
          <w:rFonts w:ascii="Garamond" w:hAnsi="Garamond"/>
          <w:color w:val="000000"/>
          <w:sz w:val="22"/>
          <w:szCs w:val="22"/>
        </w:rPr>
      </w:pPr>
    </w:p>
    <w:p w14:paraId="0466748C" w14:textId="77777777" w:rsidR="003450B8" w:rsidRPr="00283E81" w:rsidRDefault="003450B8" w:rsidP="00E12C5A">
      <w:pPr>
        <w:widowControl/>
        <w:pBdr>
          <w:top w:val="nil"/>
          <w:left w:val="nil"/>
          <w:bottom w:val="nil"/>
          <w:right w:val="nil"/>
          <w:between w:val="nil"/>
        </w:pBdr>
        <w:ind w:left="284" w:right="116"/>
        <w:jc w:val="both"/>
        <w:rPr>
          <w:rFonts w:ascii="Garamond" w:hAnsi="Garamond"/>
          <w:color w:val="000000"/>
          <w:sz w:val="22"/>
          <w:szCs w:val="22"/>
        </w:rPr>
      </w:pPr>
    </w:p>
    <w:p w14:paraId="781A1AA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605BDAC" w14:textId="3F71543C" w:rsidR="000104FD" w:rsidRPr="00283E81" w:rsidRDefault="00E12C5A" w:rsidP="003400E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En el Clasificador de Bienes y Servicios, el segmento correspondiente para la clasificación de la experiencia es el 72.</w:t>
      </w:r>
    </w:p>
    <w:p w14:paraId="0A0AC701" w14:textId="77777777" w:rsidR="000104FD" w:rsidRPr="00283E81" w:rsidRDefault="00083F16"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Los contratos deben e</w:t>
      </w:r>
      <w:r w:rsidR="00734201" w:rsidRPr="00283E81">
        <w:rPr>
          <w:rFonts w:ascii="Garamond" w:hAnsi="Garamond"/>
          <w:color w:val="000000"/>
          <w:sz w:val="22"/>
          <w:szCs w:val="22"/>
        </w:rPr>
        <w:t>star relacionados en el Formato 3 – Experiencia con el número consecutivo del contrato en el RUP. Los Proponentes Plurales deben indicar qué integrante aporta cada uno de los Contratos señalados en el Formato 3 – Experiencia. Este documento debe presentarlo el Proponente Plural y no sus integrantes.</w:t>
      </w:r>
    </w:p>
    <w:p w14:paraId="3281A2A7" w14:textId="77777777" w:rsidR="000104FD" w:rsidRPr="00283E81" w:rsidRDefault="00734201"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Con estos la Entidad verificará la acreditación de los requisitos de experiencia general y específica solicitados para la actividad principal, al igual que los requeridos para la actividad secundaria en atención a las combinaciones de experiencia aplicables y la experiencia exigida respecto de las obras, bienes o servicios adicionales a la obra pública de infraestructura social, en caso de que aplique.</w:t>
      </w:r>
    </w:p>
    <w:p w14:paraId="08CA1949" w14:textId="77777777" w:rsidR="000104FD" w:rsidRPr="00283E81" w:rsidRDefault="00734201"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Formato 3 – Experiencia deberá aportarse diligenciado preferiblemente en formato Excel.</w:t>
      </w:r>
    </w:p>
    <w:p w14:paraId="3D4FA36A" w14:textId="2A909C54" w:rsidR="00734201" w:rsidRPr="00283E81" w:rsidRDefault="00734201" w:rsidP="009F325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Proponente podrá acreditar la experiencia solicitada con mínimo uno (1) y máximo cinco (5) Contratos, los cuales serán evaluados teniendo en cuenta la tabla del numeral 3.5.8 del Pliego de Condiciones</w:t>
      </w:r>
    </w:p>
    <w:p w14:paraId="33A093AA" w14:textId="77777777" w:rsidR="00E12C5A" w:rsidRPr="00283E81" w:rsidRDefault="00E12C5A" w:rsidP="003400E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Entidad únicamente podrá exigir para la verificación de la experiencia los contratos celebrados por el interesado, identificados con el Clasificador de Bienes y Servicios hasta el tercer nivel.</w:t>
      </w:r>
    </w:p>
    <w:p w14:paraId="324DB2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85D122F" w14:textId="52BFD76E" w:rsidR="005D224E" w:rsidRPr="00283E81" w:rsidRDefault="00E12C5A" w:rsidP="009F325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Proponente relaciona o anexa más de cinco (5) contratos en el Formato 3 - Experiencia, para efectos de evaluar la experiencia se tendrán en cuenta cómo máximo los cinco (5) contratos aportados de mayor valor. </w:t>
      </w:r>
    </w:p>
    <w:p w14:paraId="58A7C0E6" w14:textId="77777777" w:rsidR="009F325D" w:rsidRPr="00283E81" w:rsidRDefault="009F325D" w:rsidP="009F325D">
      <w:pPr>
        <w:widowControl/>
        <w:pBdr>
          <w:top w:val="nil"/>
          <w:left w:val="nil"/>
          <w:bottom w:val="nil"/>
          <w:right w:val="nil"/>
          <w:between w:val="nil"/>
        </w:pBdr>
        <w:ind w:left="284" w:right="116"/>
        <w:jc w:val="both"/>
        <w:rPr>
          <w:rFonts w:ascii="Garamond" w:hAnsi="Garamond"/>
          <w:color w:val="000000"/>
          <w:sz w:val="22"/>
          <w:szCs w:val="22"/>
        </w:rPr>
      </w:pPr>
    </w:p>
    <w:p w14:paraId="6C79D7AF" w14:textId="77777777" w:rsidR="009F325D" w:rsidRPr="00283E81" w:rsidRDefault="009F325D" w:rsidP="009F325D">
      <w:pPr>
        <w:widowControl/>
        <w:pBdr>
          <w:top w:val="nil"/>
          <w:left w:val="nil"/>
          <w:bottom w:val="nil"/>
          <w:right w:val="nil"/>
          <w:between w:val="nil"/>
        </w:pBdr>
        <w:ind w:left="284" w:right="116"/>
        <w:jc w:val="both"/>
        <w:rPr>
          <w:rFonts w:ascii="Garamond" w:hAnsi="Garamond"/>
          <w:color w:val="000000"/>
          <w:sz w:val="22"/>
          <w:szCs w:val="22"/>
        </w:rPr>
      </w:pPr>
    </w:p>
    <w:p w14:paraId="70954E1C" w14:textId="13EB9647" w:rsidR="005D224E" w:rsidRPr="00283E81" w:rsidRDefault="005D224E" w:rsidP="009F325D">
      <w:pPr>
        <w:pStyle w:val="Prrafodelista"/>
        <w:numPr>
          <w:ilvl w:val="0"/>
          <w:numId w:val="33"/>
        </w:numPr>
        <w:pBdr>
          <w:top w:val="nil"/>
          <w:left w:val="nil"/>
          <w:bottom w:val="nil"/>
          <w:right w:val="nil"/>
          <w:between w:val="nil"/>
        </w:pBdr>
        <w:ind w:left="284" w:right="116" w:firstLine="0"/>
        <w:rPr>
          <w:rFonts w:ascii="Garamond" w:hAnsi="Garamond"/>
          <w:color w:val="000000"/>
        </w:rPr>
      </w:pPr>
      <w:r w:rsidRPr="00283E81">
        <w:rPr>
          <w:rFonts w:ascii="Garamond" w:eastAsia="Times New Roman" w:hAnsi="Garamond" w:cs="Lohit Hindi"/>
          <w:color w:val="000000"/>
          <w:kern w:val="3"/>
          <w:lang w:eastAsia="zh-CN" w:bidi="hi-IN"/>
        </w:rPr>
        <w:t>Tratándose de Proponentes que acrediten la calidad de Mipyme o emprendimiento y empresa de mujer con domicilio en el territorio nacional, se tendrá en cuenta como máximo los seis (6) contratos aportados de mayor valor. En caso de que el Proponente pruebe la calidad de Mipyme y de emprendimiento y empresa de mujer con domicilio en el territorio nacional de manera conjunta, se valdrán máximo los siete</w:t>
      </w:r>
      <w:r w:rsidRPr="00283E81">
        <w:rPr>
          <w:rFonts w:ascii="Garamond" w:hAnsi="Garamond"/>
          <w:color w:val="000000"/>
        </w:rPr>
        <w:t xml:space="preserve"> (7) contratos allegados de mayor valor.</w:t>
      </w:r>
    </w:p>
    <w:p w14:paraId="4C9FE524" w14:textId="3E3AEDFA" w:rsidR="005D224E" w:rsidRPr="00283E81" w:rsidRDefault="005D224E" w:rsidP="009F325D">
      <w:pPr>
        <w:widowControl/>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p>
    <w:p w14:paraId="2633D6C1" w14:textId="4124928A" w:rsidR="00E12C5A" w:rsidRPr="00283E81" w:rsidRDefault="00E12C5A" w:rsidP="00B6421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Tratándose de Proponentes Plurales se tendrá en cuenta lo siguiente: i) uno de los integrantes debe aportar como mínimo el cincuenta por ciento (50 %) de la experiencia solicitada;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los demás integrantes deben acreditar al menos el cinco por ciento (5 %) de la experiencia solicitada;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sin perjuicio de lo anterior, solo uno (1) de los integrantes, si así lo considera pertinente, podrá no acreditar experiencia. En este último caso, el porcentaje de participación del integrante que no aporta experiencia en la estructura plural no podrá superar el diez por ciento (10 %).</w:t>
      </w:r>
    </w:p>
    <w:p w14:paraId="2DC280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9C8BF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Estos porcentajes que acreditarán los integrantes del Proponente Plural se podrán cumplir con contratos válidos que acrediten el requisito de experiencia solicitada en el pliego de condiciones y se calcularán sobre el “valor mínimo a certificar (como % del Presupuesto Oficial de obra expresado en SMMLV)” de conformidad con el numeral 3.5.7. Independientemente de el o los integrantes del Proponente Plural que aporten contratos para acreditar la experiencia, estos se tendrán en cuenta para calcular el “número de contratos con los cuales el Proponente cumple la experiencia acreditada" de que trata el numeral citado.</w:t>
      </w:r>
    </w:p>
    <w:p w14:paraId="455E44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C7606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armonía con lo anterior, para cumplir el requisito previsto en este literal no se solicitará la acreditación de longitudes, magnitudes, volúmenes o porcentajes requeridos en la experiencia específica, sino que bastará con acreditar los SMMLV. </w:t>
      </w:r>
    </w:p>
    <w:p w14:paraId="66D281E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CF483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F11A3F9"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Cuando el contrato que se pretende acreditar como experiencia haya sido ejecutado en Consorcio o en Unión Temporal, el porcentaje de participación del integrante será el registrado en el RUP de este o en alguno de los documentos válidos para la acreditación de experiencia en caso de que el integrante no esté obligado a tener RUP. </w:t>
      </w:r>
    </w:p>
    <w:p w14:paraId="32CC39F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FD8562D"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Cuando el contrato que se pretende adjuntar como experiencia haya sido ejecutado en Consorcio o en Unión Temporal, el valor a considerar será el registrado en el RUP, o documento válido en caso de que el integrante no esté obligado a tener RUP. En estos casos, la experiencia efectivamente acreditada para el procedimiento de selección será la presentada multiplicada por el porcentaje de participación que tuvo el integrante o los integrantes que presentan la oferta.</w:t>
      </w:r>
    </w:p>
    <w:p w14:paraId="096EE4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E5207A1"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Cuando el contrato que se pretende acreditar como experiencia haya sido ejecutado en Consorcio, el “% de dimensionamiento (según la magnitud física requerida en el Proceso de Contratación)” exigido en la matriz de experiencia aplicable en el proyecto de infraestructura social se afectará por el porcentaje de participación que tuvo el integrante o los integrantes. </w:t>
      </w:r>
    </w:p>
    <w:p w14:paraId="2BFBA50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Por su parte, si el Contrato fue ejecutado como Unión Temporal, la acreditación del “% de dimensionamiento” se afectará de acuerdo con la distribución de actividades y lo materialmente ejecutado, para lo cual se deberá allegar el documento de conformación de Proponente Plural que discrimine las actividades a cargo de cada uno de los integrantes o que de los documentos aportados para acreditar la experiencia se pueda determinar qué actividades ejecutó cada uno de los integrantes.  En caso de que lo anterior no se logre determinar, la evaluación se realizará de conformidad con lo señalado en el párrafo precedente, respecto a los Consorcios. </w:t>
      </w:r>
    </w:p>
    <w:p w14:paraId="6FF6A2A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C9F7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Nota: El “dimensionamiento” de este literal aplica a cualquier dimensión o magnitud requerida en el Proceso de Contratación para acreditar la experiencia según detalle la respectiva matriz de experiencia aplicable en el proyecto de infraestructura social. </w:t>
      </w:r>
    </w:p>
    <w:p w14:paraId="5621CFF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3331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H.</w:t>
      </w:r>
      <w:r w:rsidRPr="00283E81">
        <w:rPr>
          <w:rFonts w:ascii="Garamond" w:hAnsi="Garamond"/>
          <w:color w:val="000000"/>
          <w:sz w:val="22"/>
          <w:szCs w:val="22"/>
        </w:rPr>
        <w:tab/>
        <w:t>Cuando el contrato que se aporte para la experiencia haya sido ejecutado por un Consorcio o una Unión Temporal, y dos (2) o más de sus integrantes conformen un Proponente Plural para participar en el presente proceso, dicho Contrato se entenderá aportado como un (1) solo Contrato y se tendrá en cuenta para el aporte de la experiencia la sumatoria de los porcentajes de los integrantes del Consorcio o de la Unión Temporal que ejecutaron el Contrato y que están participando en el presente Proceso de Contratación.</w:t>
      </w:r>
    </w:p>
    <w:p w14:paraId="48FF23B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F09F50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I.</w:t>
      </w:r>
      <w:r w:rsidRPr="00283E81">
        <w:rPr>
          <w:rFonts w:ascii="Garamond" w:hAnsi="Garamond"/>
          <w:color w:val="000000"/>
          <w:sz w:val="22"/>
          <w:szCs w:val="22"/>
        </w:rPr>
        <w:tab/>
        <w:t xml:space="preserve">El cumplimiento de los requisitos de experiencia que impliquen la acreditación de valores y magnitudes intervenidas deberá evaluarse de acuerdo con lo señalado en la matriz de experiencia aplicable en atención al proyecto de infraestructura social a contratarse. En los contratos aportados como experiencia que </w:t>
      </w:r>
      <w:r w:rsidRPr="00283E81">
        <w:rPr>
          <w:rFonts w:ascii="Garamond" w:hAnsi="Garamond"/>
          <w:color w:val="000000"/>
          <w:sz w:val="22"/>
          <w:szCs w:val="22"/>
        </w:rPr>
        <w:lastRenderedPageBreak/>
        <w:t>contengan actividades ejecutadas ajenas a la obra de infraestructura social requerida, la Entidad Estatal solo tendrá en cuenta los valores y magnitudes ejecutadas relacionadas con este tipo de infraestructura.</w:t>
      </w:r>
    </w:p>
    <w:p w14:paraId="3C08F2D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E58127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estos efectos, el oferente deberá acreditar los valores y magnitudes intervenidas dentro del respectivo contrato, empleando alguno de los documentos válidos establecidos en el numeral 3.5.5 del Pliego de Condiciones. En todo caso, la Entidad Estatal permitirá la subsanación, en los términos del numeral 1.6 del Pliego de Condiciones, requiriendo al Proponente para que acredite los valores ejecutados y magnitudes intervenidas. De no lograrse la discriminación de los valores y magnitudes ejecutadas en el marco del respectivo contrato, la Entidad Estatal no lo tendrá en cuenta para la evaluación.</w:t>
      </w:r>
    </w:p>
    <w:p w14:paraId="53C9579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312493" w14:textId="0A8B43E5" w:rsidR="00E12C5A" w:rsidRPr="00283E81" w:rsidRDefault="00E12C5A" w:rsidP="7B655BC0">
      <w:pPr>
        <w:widowControl/>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themeColor="text1"/>
          <w:sz w:val="22"/>
          <w:szCs w:val="22"/>
        </w:rPr>
        <w:t>J.</w:t>
      </w:r>
      <w:r w:rsidR="3413F276" w:rsidRPr="00283E81">
        <w:rPr>
          <w:rFonts w:ascii="Garamond" w:hAnsi="Garamond"/>
          <w:color w:val="000000" w:themeColor="text1"/>
          <w:sz w:val="22"/>
          <w:szCs w:val="22"/>
        </w:rPr>
        <w:t xml:space="preserve"> </w:t>
      </w:r>
      <w:r w:rsidRPr="00283E81">
        <w:rPr>
          <w:rFonts w:ascii="Garamond" w:hAnsi="Garamond"/>
          <w:color w:val="000000" w:themeColor="text1"/>
          <w:sz w:val="22"/>
          <w:szCs w:val="22"/>
        </w:rPr>
        <w:t>Las auto certificaciones no servirán para acreditar la experiencia requerida, ya que con estas no puede constatarse la ejecución de contratos que deben certificar los terceros que recibieron la obra, bien o servicio. Para la aplicación de esta regla, se entiende por auto certificaciones aquellas expedidas por el mismo Proponente, sus representantes, los integrantes del Proponente Plural o del mismo grupo empresarial para demostrar su propia experiencia.</w:t>
      </w:r>
    </w:p>
    <w:p w14:paraId="6E54FF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DAEB7A" w14:textId="77777777" w:rsidR="00E12C5A" w:rsidRPr="00283E81" w:rsidRDefault="00E12C5A" w:rsidP="003400E2">
      <w:pPr>
        <w:widowControl/>
        <w:numPr>
          <w:ilvl w:val="0"/>
          <w:numId w:val="3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Las certificaciones de experiencia expedidas por el interventor de obra no servirán para probar la experiencia requerida.</w:t>
      </w:r>
    </w:p>
    <w:p w14:paraId="62888BA6"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2B62417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4" w:name="_heading=h.czdssa7vc2ba" w:colFirst="0" w:colLast="0"/>
      <w:bookmarkEnd w:id="14"/>
      <w:r w:rsidRPr="00283E81">
        <w:rPr>
          <w:rFonts w:ascii="Garamond" w:hAnsi="Garamond"/>
          <w:b/>
          <w:color w:val="000000"/>
          <w:sz w:val="22"/>
          <w:szCs w:val="22"/>
        </w:rPr>
        <w:t>ACREDITACIÓN DE LA EXPERIENCIA REQUERIDA</w:t>
      </w:r>
    </w:p>
    <w:p w14:paraId="737623C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646A5C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acreditarán para cada uno de los Contratos aportados la siguiente información mediante alguno, o algunos, de los documentos señalados en el  Pliego de Condiciones: </w:t>
      </w:r>
    </w:p>
    <w:p w14:paraId="2F5307D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F603ADE"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Contratante.</w:t>
      </w:r>
    </w:p>
    <w:p w14:paraId="49BF0A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110FE01"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43ED42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2C9042"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Principales actividades ejecutadas.</w:t>
      </w:r>
    </w:p>
    <w:p w14:paraId="48A6DC8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6671B2"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magnitud, área intervenida o construida y demás condiciones de experiencia contenida en la matriz de experiencia aplicable en el proyecto de infraestructura social que permita establecer su alcance, en los casos que aplique.</w:t>
      </w:r>
    </w:p>
    <w:p w14:paraId="2924954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B808A6E"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La fecha de iniciación de la ejecución del Contrato: Esta fecha es diferente a la de suscripción del Contrato, a menos que de los documentos del numeral 3.5.5 de forma expresa así se determine. </w:t>
      </w:r>
    </w:p>
    <w:p w14:paraId="0D4B87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9B6A1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en los documentos válidos aportados para la acreditación de experiencia solo se evidencia fecha (mes, año) de suscripción y/o inicio del contrato: se tendrá en cuenta el último día del mes que se encuentre señalado en la certificación.</w:t>
      </w:r>
    </w:p>
    <w:p w14:paraId="5640B2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B15EF14"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 xml:space="preserve">La fecha de terminación de la ejecución del Contrato: Esta fecha corresponde al momento de terminación de la ejecución del Contrato, por lo que no necesariamente coincide con la fecha de entrega y/o recibo final, liquidación, o acta final, salvo que de los documentos del numeral 3.5.5 de forma expresa así se determine.  </w:t>
      </w:r>
    </w:p>
    <w:p w14:paraId="638193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en los documentos válidos aportados para la acreditación de experiencia solo se evidencia fecha (mes, año) de terminación del Contrato: se tendrá en cuenta el primer día del mes que se encuentre señalado en la certificación.</w:t>
      </w:r>
    </w:p>
    <w:p w14:paraId="7D0E23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2752E9C"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y cargo de la persona que expide la certificación.</w:t>
      </w:r>
    </w:p>
    <w:p w14:paraId="0489DE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1F42D1"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porcentaje de participación del integrante del Contratista plural.</w:t>
      </w:r>
    </w:p>
    <w:p w14:paraId="22532D69"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6C01D4A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5" w:name="_heading=h.ahsgluzav2bw" w:colFirst="0" w:colLast="0"/>
      <w:bookmarkEnd w:id="15"/>
      <w:r w:rsidRPr="00283E81">
        <w:rPr>
          <w:rFonts w:ascii="Garamond" w:hAnsi="Garamond"/>
          <w:b/>
          <w:color w:val="000000"/>
          <w:sz w:val="22"/>
          <w:szCs w:val="22"/>
        </w:rPr>
        <w:t>DOCUMENTOS VÁLIDOS PARA LA ACREDITACIÓN DE LA EXPERIENCIA REQUERIDA</w:t>
      </w:r>
    </w:p>
    <w:p w14:paraId="1D49189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8420D3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En aquellos casos en que por las características del objeto a contratar se requiera verificar información adicional a la contenida en el RUP, el Proponente podrá aportar uno o algunos de los documentos que se establecen a continuación, para que la Entidad realice la verificación en forma directa. Los mismos deberán estar diligenciados y suscritos por el contratante, el Contratista o el interventor, según corresponda. En caso de existir discrepancias entre dos (2) o más documentos aportados por el Proponente para la acreditación de la experiencia, se tendrá en cuenta el orden de prevalencia indicado a continuación:</w:t>
      </w:r>
    </w:p>
    <w:p w14:paraId="3900AF3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4EEDCE"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Acta de liquidación.</w:t>
      </w:r>
    </w:p>
    <w:p w14:paraId="7105D85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8498003"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Acta de entrega, terminación, final o de recibo definitivo. </w:t>
      </w:r>
    </w:p>
    <w:p w14:paraId="06C0B70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A3B3DE6"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Certificación de experiencia. Expedida con posterioridad a la fecha de terminación del Contrato en la que conste el recibo a satisfacción de la obra contratada debidamente suscrita por quien esté en capacidad u obligación de hacerlo.</w:t>
      </w:r>
    </w:p>
    <w:p w14:paraId="3DC261A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529B10A"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Acta de inicio o la orden de inicio. La misma solo será válida para efectos de acreditar la fecha de inicio.</w:t>
      </w:r>
    </w:p>
    <w:p w14:paraId="0B79B742"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Planos récord finales de obra.</w:t>
      </w:r>
    </w:p>
    <w:p w14:paraId="577824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7233E6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G.</w:t>
      </w:r>
      <w:r w:rsidRPr="00283E81">
        <w:rPr>
          <w:rFonts w:ascii="Garamond" w:hAnsi="Garamond"/>
          <w:sz w:val="22"/>
          <w:szCs w:val="22"/>
        </w:rPr>
        <w:tab/>
      </w:r>
      <w:r w:rsidRPr="00283E81">
        <w:rPr>
          <w:rFonts w:ascii="Garamond" w:hAnsi="Garamond"/>
          <w:color w:val="000000" w:themeColor="text1"/>
          <w:sz w:val="22"/>
          <w:szCs w:val="22"/>
        </w:rPr>
        <w:t>Para los contratos que hayan sido objeto de cesión, el Contrato deberá encontrarse inscrito y clasificado en el RUP o en uno o alguno de los documentos considerados como válidos para la acreditación de experiencia de la persona jurídica o natural cesionaria, según aplique. La experiencia se admitirá para el cesionario y no se reconocerá experiencia alguna al cedente.</w:t>
      </w:r>
    </w:p>
    <w:p w14:paraId="5E1D31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0FC592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H.</w:t>
      </w:r>
      <w:r w:rsidRPr="00283E81">
        <w:rPr>
          <w:rFonts w:ascii="Garamond" w:hAnsi="Garamond"/>
          <w:sz w:val="22"/>
          <w:szCs w:val="22"/>
        </w:rPr>
        <w:tab/>
      </w:r>
      <w:r w:rsidRPr="00283E81">
        <w:rPr>
          <w:rFonts w:ascii="Garamond" w:hAnsi="Garamond"/>
          <w:color w:val="000000" w:themeColor="text1"/>
          <w:sz w:val="22"/>
          <w:szCs w:val="22"/>
        </w:rPr>
        <w:t xml:space="preserve">Cualquier otro documento idóneo que acredite la experiencia exigida, tales como: el Contrato y/o los Documentos del Proceso Contractual, los cuales deben estar suscritos por las personas que intervinieron en su formación o estar publicados en el SECOP. </w:t>
      </w:r>
    </w:p>
    <w:p w14:paraId="0BF47A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lastRenderedPageBreak/>
        <w:t>Para efectos de acreditación de experiencia entre particulares, el Proponente deberá aportar, además, la certificación de facturación expedida con posterioridad a la fecha de terminación del Contrato emitida por el revisor fiscal o contador público del Proponente que acredita la experiencia, según corresponda, con la copia de la tarjeta profesional y certificado de antecedente disciplinarios vigente, de la Junta Central de Contadores, o los documentos equivalentes que hagan sus veces en el país donde se expide el documento del profesional.</w:t>
      </w:r>
    </w:p>
    <w:p w14:paraId="3CFBBC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0817B1C" w14:textId="77777777" w:rsidR="00E12C5A" w:rsidRPr="00283E81" w:rsidRDefault="00E12C5A" w:rsidP="00E12C5A">
      <w:pPr>
        <w:widowControl/>
        <w:pBdr>
          <w:top w:val="nil"/>
          <w:left w:val="nil"/>
          <w:bottom w:val="nil"/>
          <w:right w:val="nil"/>
          <w:between w:val="nil"/>
        </w:pBdr>
        <w:ind w:left="284" w:right="116"/>
        <w:jc w:val="both"/>
        <w:rPr>
          <w:rFonts w:ascii="Garamond" w:hAnsi="Garamond"/>
          <w:b/>
          <w:bCs/>
          <w:color w:val="000000"/>
          <w:sz w:val="22"/>
          <w:szCs w:val="22"/>
        </w:rPr>
      </w:pPr>
      <w:r w:rsidRPr="00283E81">
        <w:rPr>
          <w:rFonts w:ascii="Garamond" w:hAnsi="Garamond"/>
          <w:b/>
          <w:bCs/>
          <w:color w:val="000000"/>
          <w:sz w:val="22"/>
          <w:szCs w:val="22"/>
        </w:rPr>
        <w:t>PARA SUBCONTRATOS</w:t>
      </w:r>
    </w:p>
    <w:p w14:paraId="225CA1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6A2604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Para acreditar la experiencia de subcontratos, cuyo contrato principal fue suscrito con particulares, se aplicarán las disposiciones establecidas en el numeral anterior.  </w:t>
      </w:r>
    </w:p>
    <w:p w14:paraId="2E534ED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0474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Para acreditar la experiencia de los contratos derivados de contratos suscritos con Entidades Estatales el Proponente deberá aportar los documentos que se enlistan a continuación:</w:t>
      </w:r>
    </w:p>
    <w:p w14:paraId="3F05CA3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C2B62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 Certificación del subcontrato. Certificación expedida con posterioridad a la fecha de terminación del subcontrato, la cual deberá estar suscrita por el representante legal del contratista del contrato principal, del Concesionario, o del EPC o Consorcio Constructor. Así mismo, debe contener la información requerida en el Pliego de Condiciones para efectos de la acreditación de la experiencia. </w:t>
      </w:r>
    </w:p>
    <w:p w14:paraId="0780866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B1141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B. Certificación expedida por la Entidad Estatal del contrato principal del cual se derivó el subcontrato. Esta certificación debe contener la información básica del contrato principal y la siguiente: </w:t>
      </w:r>
    </w:p>
    <w:p w14:paraId="6C5D1ED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B75A99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I. Alcance de las obras ejecutadas en el contrato principal. </w:t>
      </w:r>
    </w:p>
    <w:p w14:paraId="7BF83E1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D735E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II. Información en la cual se evidencie que la figura de la subcontratación es permitida en el marco del contrato principal. En caso de que no requiera autorización para subcontratar, el Proponente podrá aportar con su propuesta alguno de los siguientes documentos que den cuenta de esa circunstancia: i) copia del contrato o </w:t>
      </w:r>
      <w:proofErr w:type="spellStart"/>
      <w:r w:rsidRPr="00283E81">
        <w:rPr>
          <w:rFonts w:ascii="Garamond" w:hAnsi="Garamond"/>
          <w:color w:val="000000" w:themeColor="text1"/>
          <w:sz w:val="22"/>
          <w:szCs w:val="22"/>
        </w:rPr>
        <w:t>ii</w:t>
      </w:r>
      <w:proofErr w:type="spellEnd"/>
      <w:r w:rsidRPr="00283E81">
        <w:rPr>
          <w:rFonts w:ascii="Garamond" w:hAnsi="Garamond"/>
          <w:color w:val="000000" w:themeColor="text1"/>
          <w:sz w:val="22"/>
          <w:szCs w:val="22"/>
        </w:rPr>
        <w:t>) certificación emitida por la Entidad Estatal, donde acredite que para subcontratar no se requería autorización.</w:t>
      </w:r>
    </w:p>
    <w:p w14:paraId="4DF8C80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C1E29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La información solicitada en el literal B únicamente se exige en relación con el contrato principal suscrito con la Entidad Estatal.  </w:t>
      </w:r>
    </w:p>
    <w:p w14:paraId="0C26459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3491D3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En caso de que se presenten varios niveles de subcontratación, las reglas de los literales A y B aplicarán hasta el primer nivel de subcontratación. Para los siguientes niveles de subcontratación, la acreditación de la experiencia se realizará con las disposiciones establecidas en el numeral anterior. Para estos efectos, entiéndase el primer nivel de subcontratación como aquel contrato suscrito entre particulares, cuyo contrato principal del cual se deriva directamente, es el contrato estatal firmado entre una Entidad Estatal y un particular.</w:t>
      </w:r>
    </w:p>
    <w:p w14:paraId="16F2423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6E1ED4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Cuando el contratista directo y el subcontratista presenten ofertas en un mismo Proceso de Contratación, la experiencia derivada de las actividades subcontratadas solo pertenecerá al subcontratista. En este </w:t>
      </w:r>
      <w:r w:rsidRPr="00283E81">
        <w:rPr>
          <w:rFonts w:ascii="Garamond" w:hAnsi="Garamond"/>
          <w:color w:val="000000"/>
          <w:sz w:val="22"/>
          <w:szCs w:val="22"/>
        </w:rPr>
        <w:lastRenderedPageBreak/>
        <w:t xml:space="preserve">contexto, el contratista directo no podrá acreditar dichas actividades, por lo que no serán tenidas en cuenta para la verificación de la experiencia. </w:t>
      </w:r>
    </w:p>
    <w:p w14:paraId="04596FD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624BF9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deberán advertir a la Entidad cuando en otros procesos, el contratista directo hubiera certificado que, dentro de su contrato, se llevó a cabo la subcontratación, por cuanto tales actividades no serán tenidas en cuenta para efectos de acreditación de experiencia del contratista directo. Para tal fin, deberán informar a la Entidad, mediante comunicación escrita, indicando el proceso en el cual el contratista certificó la respectiva subcontratación.</w:t>
      </w:r>
    </w:p>
    <w:p w14:paraId="7AD78D1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A4CF89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La obligación de informar las situaciones de subcontratación estará en cabeza de los Proponentes y de ninguna manera dicha carga será de la Entidad. En aquellos casos en los que el Proponente no advierta tal situación, la Entidad no tendrá responsabilidad alguna por cuanto no fue avisada. En ese caso, el contrato se contabilizará como un todo y no se tendrá en cuenta lo relacionado con la subcontratación.</w:t>
      </w:r>
    </w:p>
    <w:p w14:paraId="35E959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24EA9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la Entidad haya sido advertida por alguno los Proponentes sobre situaciones de subcontratación, aplicará el numeral 1.11 del Pliego de Condiciones.</w:t>
      </w:r>
    </w:p>
    <w:p w14:paraId="2749C7B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800EF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6" w:name="_heading=h.q8vozpscnxzb" w:colFirst="0" w:colLast="0"/>
      <w:bookmarkEnd w:id="16"/>
      <w:r w:rsidRPr="00283E81">
        <w:rPr>
          <w:rFonts w:ascii="Garamond" w:hAnsi="Garamond"/>
          <w:b/>
          <w:color w:val="000000"/>
          <w:sz w:val="22"/>
          <w:szCs w:val="22"/>
        </w:rPr>
        <w:t>RELACIÓN DE LOS CONTRATOS FRENTE AL PRESUPUESTO OFICIAL</w:t>
      </w:r>
    </w:p>
    <w:p w14:paraId="4FCB4F9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5B8DAE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verificación del número de contratos para acreditar la experiencia se realiza de la siguiente manera:</w:t>
      </w:r>
    </w:p>
    <w:p w14:paraId="5FB286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589" w:type="dxa"/>
        <w:tblInd w:w="1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9"/>
        <w:gridCol w:w="4390"/>
      </w:tblGrid>
      <w:tr w:rsidR="00E12C5A" w:rsidRPr="00283E81" w14:paraId="26EF2F2E" w14:textId="77777777" w:rsidTr="00A111D3">
        <w:trPr>
          <w:trHeight w:val="753"/>
          <w:tblHeader/>
        </w:trPr>
        <w:tc>
          <w:tcPr>
            <w:tcW w:w="3199"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5ED4C67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Número de contratos con los cuales el Proponente cumple la experiencia acreditada</w:t>
            </w:r>
          </w:p>
        </w:tc>
        <w:tc>
          <w:tcPr>
            <w:tcW w:w="4390"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3CE0006"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Valor mínimo a certificar</w:t>
            </w:r>
          </w:p>
          <w:p w14:paraId="30E39C47"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(como % del Presupuesto Oficial de obra expresado en SMMLV)</w:t>
            </w:r>
          </w:p>
        </w:tc>
      </w:tr>
      <w:tr w:rsidR="00E12C5A" w:rsidRPr="00283E81" w14:paraId="4DF4CAC5" w14:textId="77777777" w:rsidTr="00A111D3">
        <w:trPr>
          <w:trHeight w:val="260"/>
        </w:trPr>
        <w:tc>
          <w:tcPr>
            <w:tcW w:w="3199" w:type="dxa"/>
            <w:tcBorders>
              <w:top w:val="single" w:sz="4" w:space="0" w:color="000000"/>
              <w:left w:val="single" w:sz="4" w:space="0" w:color="000000"/>
              <w:bottom w:val="single" w:sz="4" w:space="0" w:color="000000"/>
              <w:right w:val="single" w:sz="4" w:space="0" w:color="000000"/>
            </w:tcBorders>
            <w:vAlign w:val="center"/>
          </w:tcPr>
          <w:p w14:paraId="40F1B3F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1 hasta 2</w:t>
            </w:r>
          </w:p>
        </w:tc>
        <w:tc>
          <w:tcPr>
            <w:tcW w:w="4390" w:type="dxa"/>
            <w:tcBorders>
              <w:top w:val="single" w:sz="4" w:space="0" w:color="000000"/>
              <w:left w:val="single" w:sz="4" w:space="0" w:color="000000"/>
              <w:bottom w:val="single" w:sz="4" w:space="0" w:color="000000"/>
              <w:right w:val="single" w:sz="4" w:space="0" w:color="000000"/>
            </w:tcBorders>
            <w:vAlign w:val="center"/>
          </w:tcPr>
          <w:p w14:paraId="139172F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75 %</w:t>
            </w:r>
          </w:p>
        </w:tc>
      </w:tr>
      <w:tr w:rsidR="00E12C5A" w:rsidRPr="00283E81" w14:paraId="182B4480" w14:textId="77777777" w:rsidTr="00A111D3">
        <w:trPr>
          <w:trHeight w:val="260"/>
        </w:trPr>
        <w:tc>
          <w:tcPr>
            <w:tcW w:w="3199" w:type="dxa"/>
            <w:tcBorders>
              <w:top w:val="single" w:sz="4" w:space="0" w:color="000000"/>
              <w:left w:val="single" w:sz="4" w:space="0" w:color="000000"/>
              <w:bottom w:val="single" w:sz="4" w:space="0" w:color="000000"/>
              <w:right w:val="single" w:sz="4" w:space="0" w:color="000000"/>
            </w:tcBorders>
            <w:vAlign w:val="center"/>
          </w:tcPr>
          <w:p w14:paraId="4313BB4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3 hasta 4</w:t>
            </w:r>
          </w:p>
        </w:tc>
        <w:tc>
          <w:tcPr>
            <w:tcW w:w="4390" w:type="dxa"/>
            <w:tcBorders>
              <w:top w:val="single" w:sz="4" w:space="0" w:color="000000"/>
              <w:left w:val="single" w:sz="4" w:space="0" w:color="000000"/>
              <w:bottom w:val="single" w:sz="4" w:space="0" w:color="000000"/>
              <w:right w:val="single" w:sz="4" w:space="0" w:color="000000"/>
            </w:tcBorders>
            <w:vAlign w:val="center"/>
          </w:tcPr>
          <w:p w14:paraId="6703CF0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120 %</w:t>
            </w:r>
          </w:p>
        </w:tc>
      </w:tr>
      <w:tr w:rsidR="00E12C5A" w:rsidRPr="00283E81" w14:paraId="249CF3F6" w14:textId="77777777" w:rsidTr="00A111D3">
        <w:trPr>
          <w:trHeight w:val="275"/>
        </w:trPr>
        <w:tc>
          <w:tcPr>
            <w:tcW w:w="3199" w:type="dxa"/>
            <w:tcBorders>
              <w:top w:val="single" w:sz="4" w:space="0" w:color="000000"/>
              <w:left w:val="single" w:sz="4" w:space="0" w:color="000000"/>
              <w:bottom w:val="single" w:sz="4" w:space="0" w:color="000000"/>
              <w:right w:val="single" w:sz="4" w:space="0" w:color="000000"/>
            </w:tcBorders>
            <w:vAlign w:val="center"/>
          </w:tcPr>
          <w:p w14:paraId="4EEF920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Hasta 5</w:t>
            </w:r>
          </w:p>
        </w:tc>
        <w:tc>
          <w:tcPr>
            <w:tcW w:w="4390" w:type="dxa"/>
            <w:tcBorders>
              <w:top w:val="single" w:sz="4" w:space="0" w:color="000000"/>
              <w:left w:val="single" w:sz="4" w:space="0" w:color="000000"/>
              <w:bottom w:val="single" w:sz="4" w:space="0" w:color="000000"/>
              <w:right w:val="single" w:sz="4" w:space="0" w:color="000000"/>
            </w:tcBorders>
            <w:vAlign w:val="center"/>
          </w:tcPr>
          <w:p w14:paraId="57C1105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150 %</w:t>
            </w:r>
          </w:p>
        </w:tc>
      </w:tr>
    </w:tbl>
    <w:p w14:paraId="3447DE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38BF3E"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Si el número de contratos aportados supera los cinco (5) inicialmente previstos en este numeral, debido a la posibilidad de allegar contratos adicionales por tratarse de una Mipyme y/o emprendimiento y empresa de mujer, estos contratos adicionales, ya sean seis (6) o siete (7) contratos -dependiendo si acredita una o ambas condiciones-, se tendrán en cuenta para demostrar el valor del ciento cincuenta por ciento (150 %) del valor del Presupuesto Oficial.</w:t>
      </w:r>
    </w:p>
    <w:p w14:paraId="500D8B68" w14:textId="77777777" w:rsidR="00E12C5A" w:rsidRPr="00283E81" w:rsidRDefault="00E12C5A" w:rsidP="00E12C5A">
      <w:pPr>
        <w:widowControl/>
        <w:ind w:left="284" w:right="116"/>
        <w:jc w:val="both"/>
        <w:rPr>
          <w:rFonts w:ascii="Garamond" w:hAnsi="Garamond"/>
          <w:sz w:val="22"/>
          <w:szCs w:val="22"/>
        </w:rPr>
      </w:pPr>
    </w:p>
    <w:p w14:paraId="32AA0579"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La verificación se hará con base en la sumatoria de los valores totales ejecutados (incluido IVA) en SMMLV de los contratos que cumplan con los requisitos establecidos en este Pliego de Condiciones.</w:t>
      </w:r>
    </w:p>
    <w:p w14:paraId="3FA0D3FD" w14:textId="77777777" w:rsidR="00E12C5A" w:rsidRPr="00283E81" w:rsidRDefault="00E12C5A" w:rsidP="00E12C5A">
      <w:pPr>
        <w:widowControl/>
        <w:ind w:left="284" w:right="116"/>
        <w:jc w:val="both"/>
        <w:rPr>
          <w:rFonts w:ascii="Garamond" w:hAnsi="Garamond"/>
          <w:sz w:val="22"/>
          <w:szCs w:val="22"/>
        </w:rPr>
      </w:pPr>
    </w:p>
    <w:p w14:paraId="17F1735E"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El Proponente cumple el requisito de experiencia si la sumatoria de los valores totales ejecutados (incluido IVA) de los contratos expresados en SMMLV es mayor o igual al valor mínimo a certificar establecido en la tabla anterior.</w:t>
      </w:r>
    </w:p>
    <w:p w14:paraId="24E3AA8D" w14:textId="77777777" w:rsidR="00E12C5A" w:rsidRPr="00283E81" w:rsidRDefault="00E12C5A" w:rsidP="00E12C5A">
      <w:pPr>
        <w:widowControl/>
        <w:ind w:left="284" w:right="116"/>
        <w:jc w:val="both"/>
        <w:rPr>
          <w:rFonts w:ascii="Garamond" w:hAnsi="Garamond"/>
          <w:sz w:val="22"/>
          <w:szCs w:val="22"/>
        </w:rPr>
      </w:pPr>
    </w:p>
    <w:p w14:paraId="4D12AF0D"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lastRenderedPageBreak/>
        <w:t>En caso de que el número de contratos con los cuales el Proponente acredita la experiencia no satisface el porcentaje mínimo a certificar establecido en la tabla anterior.</w:t>
      </w:r>
    </w:p>
    <w:p w14:paraId="60D258AB" w14:textId="77777777" w:rsidR="00E12C5A" w:rsidRPr="00283E81" w:rsidRDefault="00E12C5A" w:rsidP="00E12C5A">
      <w:pPr>
        <w:widowControl/>
        <w:ind w:left="284" w:right="116"/>
        <w:jc w:val="both"/>
        <w:rPr>
          <w:rFonts w:ascii="Garamond" w:hAnsi="Garamond"/>
          <w:sz w:val="22"/>
          <w:szCs w:val="22"/>
        </w:rPr>
      </w:pPr>
    </w:p>
    <w:p w14:paraId="00A074E3"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17" w:name="_heading=h.hb9b1jkymy57" w:colFirst="0" w:colLast="0"/>
      <w:bookmarkEnd w:id="17"/>
      <w:r w:rsidRPr="00283E81">
        <w:rPr>
          <w:rFonts w:ascii="Garamond" w:hAnsi="Garamond"/>
          <w:b/>
          <w:color w:val="000000"/>
          <w:sz w:val="22"/>
          <w:szCs w:val="22"/>
        </w:rPr>
        <w:t>5.1.3. CAPACIDAD FINANCIERA</w:t>
      </w:r>
    </w:p>
    <w:p w14:paraId="26B0D6FF" w14:textId="77777777" w:rsidR="00E12C5A" w:rsidRPr="00283E81" w:rsidRDefault="00E12C5A" w:rsidP="00E12C5A">
      <w:pPr>
        <w:widowControl/>
        <w:ind w:left="284" w:right="116"/>
        <w:jc w:val="both"/>
        <w:rPr>
          <w:rFonts w:ascii="Garamond" w:hAnsi="Garamond"/>
          <w:b/>
          <w:sz w:val="22"/>
          <w:szCs w:val="22"/>
        </w:rPr>
      </w:pPr>
    </w:p>
    <w:p w14:paraId="6934C6C2" w14:textId="14991549"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 xml:space="preserve">Los Proponentes deberán acreditar los siguientes indicadores en los términos señalados en la Matriz </w:t>
      </w:r>
      <w:r w:rsidR="008332D4" w:rsidRPr="00283E81">
        <w:rPr>
          <w:rFonts w:ascii="Garamond" w:hAnsi="Garamond"/>
          <w:sz w:val="22"/>
          <w:szCs w:val="22"/>
        </w:rPr>
        <w:t xml:space="preserve">2 </w:t>
      </w:r>
      <w:r w:rsidRPr="00283E81">
        <w:rPr>
          <w:rFonts w:ascii="Garamond" w:hAnsi="Garamond"/>
          <w:sz w:val="22"/>
          <w:szCs w:val="22"/>
        </w:rPr>
        <w:t>– Indicadores financieros y organizacionales.</w:t>
      </w:r>
    </w:p>
    <w:p w14:paraId="28B9E8D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3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2520"/>
        <w:gridCol w:w="4800"/>
      </w:tblGrid>
      <w:tr w:rsidR="00E12C5A" w:rsidRPr="00283E81" w14:paraId="06729B71" w14:textId="77777777" w:rsidTr="0CC143A9">
        <w:trPr>
          <w:trHeight w:val="283"/>
          <w:tblHeader/>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tcPr>
          <w:p w14:paraId="7F255E1B" w14:textId="77777777" w:rsidR="00E12C5A" w:rsidRPr="00283E81" w:rsidRDefault="00E12C5A" w:rsidP="00A111D3">
            <w:pPr>
              <w:ind w:left="284" w:right="116"/>
              <w:jc w:val="both"/>
              <w:rPr>
                <w:rFonts w:ascii="Garamond" w:hAnsi="Garamond"/>
                <w:b/>
                <w:color w:val="FFFFFF"/>
                <w:sz w:val="22"/>
                <w:szCs w:val="22"/>
              </w:rPr>
            </w:pPr>
            <w:bookmarkStart w:id="18" w:name="_heading=h.g9h1gveqdjwr" w:colFirst="0" w:colLast="0"/>
            <w:bookmarkEnd w:id="18"/>
            <w:r w:rsidRPr="00283E81">
              <w:rPr>
                <w:rFonts w:ascii="Garamond" w:hAnsi="Garamond"/>
                <w:b/>
                <w:color w:val="FFFFFF"/>
                <w:sz w:val="22"/>
                <w:szCs w:val="22"/>
              </w:rPr>
              <w:t>Indicador</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tcPr>
          <w:p w14:paraId="57983D40"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Fórmula</w:t>
            </w:r>
          </w:p>
        </w:tc>
      </w:tr>
      <w:tr w:rsidR="00E12C5A" w:rsidRPr="00283E81" w14:paraId="4F1ED9C6" w14:textId="77777777" w:rsidTr="0CC143A9">
        <w:trPr>
          <w:trHeight w:val="569"/>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1F3B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Liquidez</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AEF5F7"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Activo Corriente</m:t>
                    </m:r>
                  </m:num>
                  <m:den>
                    <m:r>
                      <w:rPr>
                        <w:rFonts w:ascii="Cambria Math" w:eastAsia="Cambria Math" w:hAnsi="Cambria Math" w:cs="Cambria Math"/>
                        <w:sz w:val="22"/>
                        <w:szCs w:val="22"/>
                      </w:rPr>
                      <m:t>Pasivo Corriente</m:t>
                    </m:r>
                  </m:den>
                </m:f>
              </m:oMath>
            </m:oMathPara>
          </w:p>
        </w:tc>
      </w:tr>
      <w:tr w:rsidR="00E12C5A" w:rsidRPr="00283E81" w14:paraId="7654EA0B" w14:textId="77777777" w:rsidTr="0CC143A9">
        <w:trPr>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560FC"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Nivel de Endeudamiento</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B69E82" w14:textId="77777777" w:rsidR="00E12C5A" w:rsidRPr="00283E81" w:rsidRDefault="00E12C5A" w:rsidP="00A111D3">
            <w:pPr>
              <w:ind w:left="284" w:right="116"/>
              <w:jc w:val="both"/>
              <w:rPr>
                <w:rFonts w:ascii="Garamond" w:hAnsi="Garamond"/>
                <w:sz w:val="22"/>
                <w:szCs w:val="22"/>
              </w:rPr>
            </w:pPr>
          </w:p>
          <w:p w14:paraId="76EB978C"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Pasivo Total</m:t>
                    </m:r>
                  </m:num>
                  <m:den>
                    <m:r>
                      <w:rPr>
                        <w:rFonts w:ascii="Cambria Math" w:eastAsia="Cambria Math" w:hAnsi="Cambria Math" w:cs="Cambria Math"/>
                        <w:sz w:val="22"/>
                        <w:szCs w:val="22"/>
                      </w:rPr>
                      <m:t>Activo Total</m:t>
                    </m:r>
                  </m:den>
                </m:f>
              </m:oMath>
            </m:oMathPara>
          </w:p>
          <w:p w14:paraId="4721CA26" w14:textId="77777777" w:rsidR="00E12C5A" w:rsidRPr="00283E81" w:rsidRDefault="00E12C5A" w:rsidP="00A111D3">
            <w:pPr>
              <w:ind w:left="284" w:right="116"/>
              <w:jc w:val="both"/>
              <w:rPr>
                <w:rFonts w:ascii="Garamond" w:hAnsi="Garamond"/>
                <w:sz w:val="22"/>
                <w:szCs w:val="22"/>
              </w:rPr>
            </w:pPr>
          </w:p>
        </w:tc>
      </w:tr>
      <w:tr w:rsidR="00E12C5A" w:rsidRPr="00283E81" w14:paraId="271337BB" w14:textId="77777777" w:rsidTr="0CC143A9">
        <w:trPr>
          <w:trHeight w:val="64"/>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A3AAD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Razón de Cobertura de Intereses</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D19D2" w14:textId="77777777" w:rsidR="00E12C5A" w:rsidRPr="00283E81" w:rsidRDefault="00E12C5A" w:rsidP="00A111D3">
            <w:pPr>
              <w:ind w:left="284" w:right="116"/>
              <w:jc w:val="both"/>
              <w:rPr>
                <w:rFonts w:ascii="Garamond" w:hAnsi="Garamond"/>
                <w:sz w:val="22"/>
                <w:szCs w:val="22"/>
              </w:rPr>
            </w:pPr>
          </w:p>
          <w:p w14:paraId="7C347DD4"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Utilidad Operacional</m:t>
                    </m:r>
                  </m:num>
                  <m:den>
                    <m:r>
                      <w:rPr>
                        <w:rFonts w:ascii="Cambria Math" w:eastAsia="Cambria Math" w:hAnsi="Cambria Math" w:cs="Cambria Math"/>
                        <w:sz w:val="22"/>
                        <w:szCs w:val="22"/>
                      </w:rPr>
                      <m:t>Gastos Interes</m:t>
                    </m:r>
                  </m:den>
                </m:f>
              </m:oMath>
            </m:oMathPara>
          </w:p>
          <w:p w14:paraId="04CC277A" w14:textId="77777777" w:rsidR="00E12C5A" w:rsidRPr="00283E81" w:rsidRDefault="00E12C5A" w:rsidP="00A111D3">
            <w:pPr>
              <w:ind w:left="284" w:right="116"/>
              <w:jc w:val="both"/>
              <w:rPr>
                <w:rFonts w:ascii="Garamond" w:hAnsi="Garamond"/>
                <w:sz w:val="22"/>
                <w:szCs w:val="22"/>
              </w:rPr>
            </w:pPr>
          </w:p>
        </w:tc>
      </w:tr>
    </w:tbl>
    <w:p w14:paraId="274DD48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E01A5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Proponente es Plural cada indicador debe calcularse así:</w:t>
      </w:r>
    </w:p>
    <w:p w14:paraId="035F2B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51130C9" w14:textId="77777777" w:rsidR="00E12C5A" w:rsidRPr="00283E81" w:rsidRDefault="00E12C5A" w:rsidP="0CC143A9">
      <w:pP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Indicador =</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1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num>
            <m:den>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2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den>
          </m:f>
        </m:oMath>
      </m:oMathPara>
    </w:p>
    <w:p w14:paraId="2F89807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12090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Donde n es el número de integrantes del Proponente Plural (Unión Temporal o Consorcio).</w:t>
      </w:r>
    </w:p>
    <w:p w14:paraId="53F058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no tiene pasivos corrientes está habilitado respecto del índice de liquidez. </w:t>
      </w:r>
    </w:p>
    <w:p w14:paraId="468FAB8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que no tiene gastos de intereses está habilitado respecto de la razón de cobertura de intereses, siempre y cuando la utilidad operacional sea igual o mayor a cero (0).</w:t>
      </w:r>
    </w:p>
    <w:p w14:paraId="10B50F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319AF2" w14:textId="4FD23C8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demuestre la condición de Mipyme domiciliada en Colombia acreditará la capacidad financiera de acuerdo con los indicadores señalados en la Matriz </w:t>
      </w:r>
      <w:r w:rsidR="00AC2C63" w:rsidRPr="00283E81">
        <w:rPr>
          <w:rFonts w:ascii="Garamond" w:hAnsi="Garamond"/>
          <w:color w:val="000000"/>
          <w:sz w:val="22"/>
          <w:szCs w:val="22"/>
        </w:rPr>
        <w:t xml:space="preserve">2 </w:t>
      </w:r>
      <w:r w:rsidRPr="00283E81">
        <w:rPr>
          <w:rFonts w:ascii="Garamond" w:hAnsi="Garamond"/>
          <w:color w:val="000000"/>
          <w:sz w:val="22"/>
          <w:szCs w:val="22"/>
        </w:rPr>
        <w:t>– Indicadores financieros y organizacionales. El Proponente probará la condición de Mipyme con la copia del certificado del Registro Único de Proponentes el cual deberá encontrarse vigente y en firme al momento de su presentación.</w:t>
      </w:r>
    </w:p>
    <w:p w14:paraId="4311FC3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404F28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9" w:name="_heading=h.w9i0a2x1lrrm" w:colFirst="0" w:colLast="0"/>
      <w:bookmarkEnd w:id="19"/>
      <w:r w:rsidRPr="00283E81">
        <w:rPr>
          <w:rFonts w:ascii="Garamond" w:hAnsi="Garamond"/>
          <w:b/>
          <w:color w:val="000000"/>
          <w:sz w:val="22"/>
          <w:szCs w:val="22"/>
        </w:rPr>
        <w:t>CAPITAL DE TRABAJO</w:t>
      </w:r>
    </w:p>
    <w:p w14:paraId="6CD972F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D1B8D7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el presente Proceso de Contratación los Proponentes acreditarán:</w:t>
      </w:r>
    </w:p>
    <w:p w14:paraId="550E3F0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E94F00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r w:rsidRPr="00283E81">
        <w:rPr>
          <w:rFonts w:ascii="Garamond" w:eastAsia="Gungsuh" w:hAnsi="Garamond" w:cs="Gungsuh"/>
          <w:color w:val="000000"/>
          <w:sz w:val="22"/>
          <w:szCs w:val="22"/>
          <w:lang w:val="en-US"/>
        </w:rPr>
        <w:t xml:space="preserve">CT = AC - PC ≥ </w:t>
      </w:r>
      <w:proofErr w:type="spellStart"/>
      <w:r w:rsidRPr="00283E81">
        <w:rPr>
          <w:rFonts w:ascii="Garamond" w:eastAsia="Gungsuh" w:hAnsi="Garamond" w:cs="Gungsuh"/>
          <w:color w:val="000000"/>
          <w:sz w:val="22"/>
          <w:szCs w:val="22"/>
          <w:lang w:val="en-US"/>
        </w:rPr>
        <w:t>CTd</w:t>
      </w:r>
      <w:proofErr w:type="spellEnd"/>
    </w:p>
    <w:p w14:paraId="52C9C3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p>
    <w:p w14:paraId="215F746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r w:rsidRPr="00283E81">
        <w:rPr>
          <w:rFonts w:ascii="Garamond" w:hAnsi="Garamond"/>
          <w:color w:val="000000"/>
          <w:sz w:val="22"/>
          <w:szCs w:val="22"/>
          <w:lang w:val="en-US"/>
        </w:rPr>
        <w:t>Donde:</w:t>
      </w:r>
    </w:p>
    <w:p w14:paraId="6601632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CT = Capital de trabajo</w:t>
      </w:r>
    </w:p>
    <w:p w14:paraId="5E45401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AC = Activo corriente</w:t>
      </w:r>
    </w:p>
    <w:p w14:paraId="21B9387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PC = Pasivo corriente</w:t>
      </w:r>
    </w:p>
    <w:p w14:paraId="59B7A28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Capital de Trabajo demandado para el proceso que presenta propuesta</w:t>
      </w:r>
    </w:p>
    <w:p w14:paraId="74E27CC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capital de trabajo (CT) del oferente deberá ser mayor o igual al capital de trabajo demandado (</w:t>
      </w: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w:t>
      </w:r>
    </w:p>
    <w:p w14:paraId="2FD94A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eastAsia="Gungsuh" w:hAnsi="Garamond" w:cs="Gungsuh"/>
          <w:color w:val="000000"/>
          <w:sz w:val="22"/>
          <w:szCs w:val="22"/>
        </w:rPr>
        <w:t>CT</w:t>
      </w:r>
      <w:proofErr w:type="spellEnd"/>
      <w:r w:rsidRPr="00283E81">
        <w:rPr>
          <w:rFonts w:ascii="Garamond" w:eastAsia="Gungsuh" w:hAnsi="Garamond" w:cs="Gungsuh"/>
          <w:color w:val="000000"/>
          <w:sz w:val="22"/>
          <w:szCs w:val="22"/>
        </w:rPr>
        <w:t xml:space="preserve"> ≥ </w:t>
      </w:r>
      <w:proofErr w:type="spellStart"/>
      <w:r w:rsidRPr="00283E81">
        <w:rPr>
          <w:rFonts w:ascii="Garamond" w:eastAsia="Gungsuh" w:hAnsi="Garamond" w:cs="Gungsuh"/>
          <w:color w:val="000000"/>
          <w:sz w:val="22"/>
          <w:szCs w:val="22"/>
        </w:rPr>
        <w:t>CTd</w:t>
      </w:r>
      <w:proofErr w:type="spellEnd"/>
    </w:p>
    <w:p w14:paraId="3E14FE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8431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capital de trabajo demandado para el proceso que presenta propuesta (</w:t>
      </w: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se calcula así:</w:t>
      </w:r>
    </w:p>
    <w:p w14:paraId="585B661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5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4"/>
        <w:gridCol w:w="1984"/>
      </w:tblGrid>
      <w:tr w:rsidR="00E12C5A" w:rsidRPr="00283E81" w14:paraId="556A04F7" w14:textId="77777777" w:rsidTr="00A111D3">
        <w:trPr>
          <w:trHeight w:val="283"/>
          <w:tblHeader/>
          <w:jc w:val="center"/>
        </w:trPr>
        <w:tc>
          <w:tcPr>
            <w:tcW w:w="313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56959ED"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Presupuesto oficial</w:t>
            </w:r>
          </w:p>
        </w:tc>
        <w:tc>
          <w:tcPr>
            <w:tcW w:w="198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75ABA872"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Fórmula</w:t>
            </w:r>
          </w:p>
        </w:tc>
      </w:tr>
      <w:tr w:rsidR="00E12C5A" w:rsidRPr="00283E81" w14:paraId="591700C2"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5F4D52C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eastAsia="Gungsuh" w:hAnsi="Garamond" w:cs="Gungsuh"/>
                <w:color w:val="000000"/>
                <w:sz w:val="22"/>
                <w:szCs w:val="22"/>
              </w:rPr>
              <w:t>≤ 800 SMMLV</w:t>
            </w:r>
          </w:p>
        </w:tc>
        <w:tc>
          <w:tcPr>
            <w:tcW w:w="1984" w:type="dxa"/>
            <w:tcBorders>
              <w:top w:val="single" w:sz="4" w:space="0" w:color="000000"/>
              <w:left w:val="single" w:sz="4" w:space="0" w:color="000000"/>
              <w:bottom w:val="single" w:sz="4" w:space="0" w:color="000000"/>
              <w:right w:val="single" w:sz="4" w:space="0" w:color="000000"/>
            </w:tcBorders>
            <w:vAlign w:val="center"/>
          </w:tcPr>
          <w:p w14:paraId="346D1DA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20% x (PO)</w:t>
            </w:r>
          </w:p>
        </w:tc>
      </w:tr>
      <w:tr w:rsidR="00E12C5A" w:rsidRPr="00283E81" w14:paraId="6977DFAB"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6284E6B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Entre 801 y 1.500 SMMLV</w:t>
            </w:r>
          </w:p>
        </w:tc>
        <w:tc>
          <w:tcPr>
            <w:tcW w:w="1984" w:type="dxa"/>
            <w:tcBorders>
              <w:top w:val="single" w:sz="4" w:space="0" w:color="000000"/>
              <w:left w:val="single" w:sz="4" w:space="0" w:color="000000"/>
              <w:bottom w:val="single" w:sz="4" w:space="0" w:color="000000"/>
              <w:right w:val="single" w:sz="4" w:space="0" w:color="000000"/>
            </w:tcBorders>
            <w:vAlign w:val="center"/>
          </w:tcPr>
          <w:p w14:paraId="1F931ACD"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30% x (PO)</w:t>
            </w:r>
          </w:p>
        </w:tc>
      </w:tr>
      <w:tr w:rsidR="00E12C5A" w:rsidRPr="00283E81" w14:paraId="2A0E9E03"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36CCA1F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eastAsia="Gungsuh" w:hAnsi="Garamond" w:cs="Gungsuh"/>
                <w:color w:val="000000"/>
                <w:sz w:val="22"/>
                <w:szCs w:val="22"/>
              </w:rPr>
              <w:t>≥ 1.501</w:t>
            </w:r>
          </w:p>
        </w:tc>
        <w:tc>
          <w:tcPr>
            <w:tcW w:w="1984" w:type="dxa"/>
            <w:tcBorders>
              <w:top w:val="single" w:sz="4" w:space="0" w:color="000000"/>
              <w:left w:val="single" w:sz="4" w:space="0" w:color="000000"/>
              <w:bottom w:val="single" w:sz="4" w:space="0" w:color="000000"/>
              <w:right w:val="single" w:sz="4" w:space="0" w:color="000000"/>
            </w:tcBorders>
            <w:vAlign w:val="center"/>
          </w:tcPr>
          <w:p w14:paraId="636EBB2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40% x (PO)</w:t>
            </w:r>
          </w:p>
        </w:tc>
      </w:tr>
    </w:tbl>
    <w:p w14:paraId="0DD0A0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Donde,</w:t>
      </w:r>
    </w:p>
    <w:p w14:paraId="17ACE5D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Capital de trabajo demandado del proceso al cual presenta propuesta</w:t>
      </w:r>
    </w:p>
    <w:p w14:paraId="5EF9688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PO = Presupuesto Oficial del proceso al cual presenta propuesta.</w:t>
      </w:r>
    </w:p>
    <w:p w14:paraId="212BE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Siendo Proponente Plural el indicador debe calcularse así:</w:t>
      </w:r>
    </w:p>
    <w:p w14:paraId="2C86079A"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CTProponente plural=</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CT</m:t>
              </m:r>
            </m:e>
            <m:sub>
              <m:r>
                <w:rPr>
                  <w:rFonts w:ascii="Cambria Math" w:eastAsia="Cambria Math" w:hAnsi="Cambria Math" w:cs="Cambria Math"/>
                  <w:color w:val="000000"/>
                  <w:sz w:val="22"/>
                  <w:szCs w:val="22"/>
                </w:rPr>
                <m:t>i</m:t>
              </m:r>
            </m:sub>
          </m:sSub>
        </m:oMath>
      </m:oMathPara>
    </w:p>
    <w:p w14:paraId="2CDE5B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5FFBA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r w:rsidRPr="00283E81">
        <w:rPr>
          <w:rFonts w:ascii="Garamond" w:hAnsi="Garamond"/>
          <w:i/>
          <w:color w:val="000000"/>
          <w:sz w:val="22"/>
          <w:szCs w:val="22"/>
        </w:rPr>
        <w:t>n</w:t>
      </w:r>
      <w:r w:rsidRPr="00283E81">
        <w:rPr>
          <w:rFonts w:ascii="Garamond" w:hAnsi="Garamond"/>
          <w:color w:val="000000"/>
          <w:sz w:val="22"/>
          <w:szCs w:val="22"/>
        </w:rPr>
        <w:t xml:space="preserve"> es el número de integrantes del Proponente Plural (Unión Temporal o Consorcio).</w:t>
      </w:r>
    </w:p>
    <w:p w14:paraId="2245CEC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B1A2FA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0" w:name="_heading=h.90ljfkaiggr8" w:colFirst="0" w:colLast="0"/>
      <w:bookmarkEnd w:id="20"/>
      <w:r w:rsidRPr="00283E81">
        <w:rPr>
          <w:rFonts w:ascii="Garamond" w:hAnsi="Garamond"/>
          <w:b/>
          <w:color w:val="000000"/>
          <w:sz w:val="22"/>
          <w:szCs w:val="22"/>
        </w:rPr>
        <w:t>CAPACIDAD ORGANIZACIONAL</w:t>
      </w:r>
    </w:p>
    <w:p w14:paraId="66A2526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C406A0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deben acreditar los siguientes indicadores en los términos señalados en la Matriz 1- Indicadores financieros y organizacionales:</w:t>
      </w:r>
    </w:p>
    <w:p w14:paraId="4E3046E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4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43"/>
        <w:gridCol w:w="3458"/>
      </w:tblGrid>
      <w:tr w:rsidR="00E12C5A" w:rsidRPr="00283E81" w14:paraId="0D31CAE2" w14:textId="77777777" w:rsidTr="00A111D3">
        <w:trPr>
          <w:trHeight w:val="357"/>
          <w:tblHeader/>
          <w:jc w:val="center"/>
        </w:trPr>
        <w:tc>
          <w:tcPr>
            <w:tcW w:w="394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D1C6315"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Indicador</w:t>
            </w:r>
          </w:p>
        </w:tc>
        <w:tc>
          <w:tcPr>
            <w:tcW w:w="3458"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511F6B2"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Fórmula</w:t>
            </w:r>
          </w:p>
        </w:tc>
      </w:tr>
      <w:tr w:rsidR="00E12C5A" w:rsidRPr="00283E81" w14:paraId="0D0B54C7" w14:textId="77777777" w:rsidTr="00A111D3">
        <w:trPr>
          <w:trHeight w:val="722"/>
          <w:jc w:val="center"/>
        </w:trPr>
        <w:tc>
          <w:tcPr>
            <w:tcW w:w="3943" w:type="dxa"/>
            <w:tcBorders>
              <w:top w:val="single" w:sz="4" w:space="0" w:color="000000"/>
              <w:left w:val="single" w:sz="4" w:space="0" w:color="000000"/>
              <w:bottom w:val="single" w:sz="4" w:space="0" w:color="000000"/>
              <w:right w:val="single" w:sz="4" w:space="0" w:color="000000"/>
            </w:tcBorders>
            <w:vAlign w:val="center"/>
          </w:tcPr>
          <w:p w14:paraId="4A40E6C4"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Rentabilidad sobre Patrimonio (Roe)</w:t>
            </w:r>
          </w:p>
        </w:tc>
        <w:tc>
          <w:tcPr>
            <w:tcW w:w="3458" w:type="dxa"/>
            <w:tcBorders>
              <w:top w:val="single" w:sz="4" w:space="0" w:color="000000"/>
              <w:left w:val="single" w:sz="4" w:space="0" w:color="000000"/>
              <w:bottom w:val="single" w:sz="4" w:space="0" w:color="000000"/>
              <w:right w:val="single" w:sz="4" w:space="0" w:color="000000"/>
            </w:tcBorders>
            <w:vAlign w:val="center"/>
          </w:tcPr>
          <w:p w14:paraId="36E1BC8E"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Utilidad Operacional</m:t>
                    </m:r>
                  </m:num>
                  <m:den>
                    <m:r>
                      <w:rPr>
                        <w:rFonts w:ascii="Cambria Math" w:eastAsia="Cambria Math" w:hAnsi="Cambria Math" w:cs="Cambria Math"/>
                        <w:sz w:val="22"/>
                        <w:szCs w:val="22"/>
                      </w:rPr>
                      <m:t>Patrimonio</m:t>
                    </m:r>
                  </m:den>
                </m:f>
              </m:oMath>
            </m:oMathPara>
          </w:p>
        </w:tc>
      </w:tr>
      <w:tr w:rsidR="00E12C5A" w:rsidRPr="00283E81" w14:paraId="14A77406" w14:textId="77777777" w:rsidTr="00A111D3">
        <w:trPr>
          <w:trHeight w:val="792"/>
          <w:jc w:val="center"/>
        </w:trPr>
        <w:tc>
          <w:tcPr>
            <w:tcW w:w="3943" w:type="dxa"/>
            <w:tcBorders>
              <w:top w:val="single" w:sz="4" w:space="0" w:color="000000"/>
              <w:left w:val="single" w:sz="4" w:space="0" w:color="000000"/>
              <w:bottom w:val="single" w:sz="4" w:space="0" w:color="000000"/>
              <w:right w:val="single" w:sz="4" w:space="0" w:color="000000"/>
            </w:tcBorders>
            <w:vAlign w:val="center"/>
          </w:tcPr>
          <w:p w14:paraId="06C00AD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Rentabilidad del Activo (Roa)</w:t>
            </w:r>
          </w:p>
        </w:tc>
        <w:tc>
          <w:tcPr>
            <w:tcW w:w="3458" w:type="dxa"/>
            <w:tcBorders>
              <w:top w:val="single" w:sz="4" w:space="0" w:color="000000"/>
              <w:left w:val="single" w:sz="4" w:space="0" w:color="000000"/>
              <w:bottom w:val="single" w:sz="4" w:space="0" w:color="000000"/>
              <w:right w:val="single" w:sz="4" w:space="0" w:color="000000"/>
            </w:tcBorders>
            <w:vAlign w:val="center"/>
          </w:tcPr>
          <w:p w14:paraId="106BDA6E"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Unidad Operacional</m:t>
                    </m:r>
                  </m:num>
                  <m:den>
                    <m:r>
                      <w:rPr>
                        <w:rFonts w:ascii="Cambria Math" w:eastAsia="Cambria Math" w:hAnsi="Cambria Math" w:cs="Cambria Math"/>
                        <w:sz w:val="22"/>
                        <w:szCs w:val="22"/>
                      </w:rPr>
                      <m:t>Activo Total</m:t>
                    </m:r>
                  </m:den>
                </m:f>
              </m:oMath>
            </m:oMathPara>
          </w:p>
        </w:tc>
      </w:tr>
    </w:tbl>
    <w:p w14:paraId="771AB74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6F652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Si el Proponente es Plural cada indicador debe calcularse así </w:t>
      </w:r>
    </w:p>
    <w:p w14:paraId="42CF552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7026E85"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w:lastRenderedPageBreak/>
            <m:t>Indicador =</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1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num>
            <m:den>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2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den>
          </m:f>
        </m:oMath>
      </m:oMathPara>
    </w:p>
    <w:p w14:paraId="2356A4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ED02B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r w:rsidRPr="00283E81">
        <w:rPr>
          <w:rFonts w:ascii="Garamond" w:hAnsi="Garamond"/>
          <w:i/>
          <w:color w:val="000000"/>
          <w:sz w:val="22"/>
          <w:szCs w:val="22"/>
        </w:rPr>
        <w:t>n</w:t>
      </w:r>
      <w:r w:rsidRPr="00283E81">
        <w:rPr>
          <w:rFonts w:ascii="Garamond" w:hAnsi="Garamond"/>
          <w:color w:val="000000"/>
          <w:sz w:val="22"/>
          <w:szCs w:val="22"/>
        </w:rPr>
        <w:t xml:space="preserve"> es el número de integrantes del Proponente Plural (Unión Temporal o Consorcio).</w:t>
      </w:r>
    </w:p>
    <w:p w14:paraId="188D17E5" w14:textId="4F68EAEC"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demuestre la condición de Mipyme domiciliada en Colombia acreditará la capacidad organizacional de acuerdo con los indicadores señalados en la Matriz </w:t>
      </w:r>
      <w:r w:rsidR="00602303" w:rsidRPr="00283E81">
        <w:rPr>
          <w:rFonts w:ascii="Garamond" w:hAnsi="Garamond"/>
          <w:color w:val="000000"/>
          <w:sz w:val="22"/>
          <w:szCs w:val="22"/>
        </w:rPr>
        <w:t>2</w:t>
      </w:r>
      <w:r w:rsidRPr="00283E81">
        <w:rPr>
          <w:rFonts w:ascii="Garamond" w:hAnsi="Garamond"/>
          <w:color w:val="000000"/>
          <w:sz w:val="22"/>
          <w:szCs w:val="22"/>
        </w:rPr>
        <w:t>– Indicadores financieros y organizacionales. El Proponente probará la condición de Mipyme con la copia del certificado del Registro Único de Proponentes, el cual deberá encontrarse vigente y en firme al momento de su presentación.</w:t>
      </w:r>
    </w:p>
    <w:p w14:paraId="77DA6CA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1863E6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1" w:name="_heading=h.5z29qd4562zv" w:colFirst="0" w:colLast="0"/>
      <w:bookmarkEnd w:id="21"/>
      <w:r w:rsidRPr="00283E81">
        <w:rPr>
          <w:rFonts w:ascii="Garamond" w:hAnsi="Garamond"/>
          <w:b/>
          <w:color w:val="000000"/>
          <w:sz w:val="22"/>
          <w:szCs w:val="22"/>
        </w:rPr>
        <w:t>ACREDITACIÓN DE LA CAPACIDAD FINANCIERA Y ORGANIZACIONAL</w:t>
      </w:r>
    </w:p>
    <w:p w14:paraId="6615784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2" w:name="_heading=h.j8cggt2ht33s" w:colFirst="0" w:colLast="0"/>
      <w:bookmarkEnd w:id="22"/>
      <w:r w:rsidRPr="00283E81">
        <w:rPr>
          <w:rFonts w:ascii="Garamond" w:hAnsi="Garamond"/>
          <w:b/>
          <w:color w:val="000000"/>
          <w:sz w:val="22"/>
          <w:szCs w:val="22"/>
        </w:rPr>
        <w:t>PERSONAS NATURALES O JURÍDICAS NACIONALES Y EXTRANJERAS CON DOMICILIO O SUCURSAL EN COLOMBIA</w:t>
      </w:r>
    </w:p>
    <w:p w14:paraId="60B4C4E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1F22B0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evaluación financiera y organizacional de las propuestas se efectuará a partir de la información contenida en el RUP vigente y en firme. En tal sentido, la evaluación de la capacidad financiera se realizará de acuerdo con la información reportada en el RUP, según las disposiciones establecidas en la Subsección 5, de la Sección 1, del Capítulo 1, del Título 1, de la Parte 2 del Decreto 1082 de 2015, o las normas que las modifiquen, adicionen o sustituyan, por lo que se tomará la información financiera del mejor año fiscal que se refleje en el registro del Proponente y que esté vigente y en firme. </w:t>
      </w:r>
    </w:p>
    <w:p w14:paraId="1269A15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95F020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extranjeros sin domicilio o Sucursal en Colombia no están obligados a tener RUP y por tanto la verificación de esta información procederá en los términos definidos en el siguiente numeral.</w:t>
      </w:r>
    </w:p>
    <w:p w14:paraId="4CDDEA0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868424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3" w:name="_heading=h.m4bf36q50ezf" w:colFirst="0" w:colLast="0"/>
      <w:bookmarkEnd w:id="23"/>
      <w:r w:rsidRPr="00283E81">
        <w:rPr>
          <w:rFonts w:ascii="Garamond" w:hAnsi="Garamond"/>
          <w:b/>
          <w:color w:val="000000"/>
          <w:sz w:val="22"/>
          <w:szCs w:val="22"/>
        </w:rPr>
        <w:t xml:space="preserve">PERSONAS NATURALES O JURÍDICAS EXTRANJERAS SIN DOMICILIO O SUCURSAL EN COLOMBIA </w:t>
      </w:r>
    </w:p>
    <w:p w14:paraId="52C42E1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B28B8C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extranjeros sin domicilio o Sucursal en Colombia deberán allegar la siguiente información financiera de conformidad con la legislación propia del país de origen. Los valores deben: (i) presentarse en Pesos Colombianos;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convertirse a la tasa de cambio de la fecha de corte de los mismos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estar avalados con la firma de quien se encuentre en obligación de hacerlo de acuerdo con la normativa del país de origen. </w:t>
      </w:r>
    </w:p>
    <w:p w14:paraId="74450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766D349"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El estado de situación financiera (balance general) y estado de resultado integral (estado de resultados), acompañados por el informe de auditoría (sí aplica según la legislación de origen) con traducción simple al español de acuerdo con las normas NIIF. </w:t>
      </w:r>
    </w:p>
    <w:p w14:paraId="5EC44FF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C3BA1C6"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Copia de la tarjeta profesional del contador público o revisor fiscal y certificado de antecedentes disciplinarios vigente expedido por la autoridad competente de quien realiza la conversión. </w:t>
      </w:r>
    </w:p>
    <w:p w14:paraId="06B9FE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87397F7"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El Formato 4 – Capacidad financiera y organizacional para extranjeros diligenciado. En caso de presentarse discrepancias entre la información consignada en el Formato 4 – Capacidad financiera y </w:t>
      </w:r>
      <w:r w:rsidRPr="00283E81">
        <w:rPr>
          <w:rFonts w:ascii="Garamond" w:hAnsi="Garamond"/>
          <w:color w:val="000000"/>
          <w:sz w:val="22"/>
          <w:szCs w:val="22"/>
        </w:rPr>
        <w:lastRenderedPageBreak/>
        <w:t xml:space="preserve">organizacional para extranjeros y los documentos señalados en el literal A, prevalecerá la información consignada en los estados financieros incluidos en la oferta. </w:t>
      </w:r>
    </w:p>
    <w:p w14:paraId="7599A8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2D7E6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Las fechas de corte de los documentos señalados en el literal A será </w:t>
      </w:r>
      <w:r w:rsidRPr="00283E81">
        <w:rPr>
          <w:rFonts w:ascii="Garamond" w:hAnsi="Garamond"/>
          <w:color w:val="000000"/>
          <w:sz w:val="22"/>
          <w:szCs w:val="22"/>
        </w:rPr>
        <w:tab/>
        <w:t>31 de diciembre de 2024, acompañado del Informe de Auditoría, salvo que se acredite en debida forma que la legislación propia del país de origen fije una fecha de corte diferente a la prevista en este pliego.</w:t>
      </w:r>
    </w:p>
    <w:p w14:paraId="4FC2155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B99A3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alguno de estos requerimientos no aplica en el país del domicilio del Proponente extranjero, el representante legal o el apoderado en Colombia deberán hacerlo constar bajo la gravedad de juramento en el Formato 4 – Capacidad financiera y organizacional para extranjeros. El Proponente podrá acreditar este requisito con un documento que así lo certifique emitido por una firma de auditoría externa.</w:t>
      </w:r>
    </w:p>
    <w:p w14:paraId="625F557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E5E129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los valores de los estados financieros están expresados originalmente en una moneda diferente a Dólares de los Estados Unidos de América, estos deberán convertirse a Pesos en los términos definidos en la sección 1.13.</w:t>
      </w:r>
    </w:p>
    <w:p w14:paraId="79FB0CD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F281E3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4" w:name="_heading=h.400nxoc643xy" w:colFirst="0" w:colLast="0"/>
      <w:bookmarkEnd w:id="24"/>
      <w:r w:rsidRPr="00283E81">
        <w:rPr>
          <w:rFonts w:ascii="Garamond" w:hAnsi="Garamond"/>
          <w:b/>
          <w:color w:val="000000"/>
          <w:sz w:val="22"/>
          <w:szCs w:val="22"/>
        </w:rPr>
        <w:t>CAPACIDAD RESIDUAL</w:t>
      </w:r>
    </w:p>
    <w:p w14:paraId="311C3844"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2A74E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será hábil si su capacidad residual es mayor o igual a la capacidad residual de Proceso de Contratación (CRPC). Así:</w:t>
      </w:r>
    </w:p>
    <w:p w14:paraId="076B837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29F9EDC"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 ≥CRPC</m:t>
          </m:r>
        </m:oMath>
      </m:oMathPara>
    </w:p>
    <w:p w14:paraId="009E38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0FC037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acreditarán la capacidad residual o K de contratación conforme se describe a continuación. En todo caso, si con posterioridad al cierre del proceso cualquier interesado, durante el traslado del informe de evaluación, o la Entidad, en uso de la potestad verificadora, advierte que se dejó de incluir, al cierre del proceso, por parte de un Proponente, alguna información contractual que afecte su capacidad residual, la Entidad rechazará la oferta. </w:t>
      </w:r>
    </w:p>
    <w:p w14:paraId="6F1CEA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352B9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 anterior, sin perjuicio de las acciones administrativas y/o judiciales a que haya lugar, en contra de la (s) persona (s) que haya (n) suscrito las certificaciones exigidas para el cálculo de la capacidad residual.</w:t>
      </w:r>
    </w:p>
    <w:p w14:paraId="57948C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8CF202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5" w:name="_heading=h.6hx291ffms0a" w:colFirst="0" w:colLast="0"/>
      <w:bookmarkEnd w:id="25"/>
      <w:r w:rsidRPr="00283E81">
        <w:rPr>
          <w:rFonts w:ascii="Garamond" w:hAnsi="Garamond"/>
          <w:b/>
          <w:color w:val="000000"/>
          <w:sz w:val="22"/>
          <w:szCs w:val="22"/>
        </w:rPr>
        <w:t>CÁLCULO DE LA CAPACIDAD RESIDUAL DEL PROCESO DE CONTRATACIÓN (CRPC)</w:t>
      </w:r>
    </w:p>
    <w:p w14:paraId="3D1245A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0107C3E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plazo estimado del contrato es menor o igual a 12 meses, el cálculo de la CRPC deberá tener en cuenta el siguiente proceso:</w:t>
      </w:r>
    </w:p>
    <w:p w14:paraId="21F36EC1"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 xml:space="preserve">CRPC=POE-Anticipo y/o pago anticipado </m:t>
          </m:r>
        </m:oMath>
      </m:oMathPara>
    </w:p>
    <w:p w14:paraId="12ECA2E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p>
    <w:p w14:paraId="1B33480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CRPC = Capacidad residual del Proceso de Contratación </w:t>
      </w:r>
    </w:p>
    <w:p w14:paraId="195E581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POE = Presupuesto Oficial Estimado</w:t>
      </w:r>
    </w:p>
    <w:p w14:paraId="536761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02206C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plazo estimado del contrato es mayor a 12 meses el cálculo de la CRPC deberá tener en cuenta el siguiente proceso:</w:t>
      </w:r>
    </w:p>
    <w:p w14:paraId="746AFE5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7AB7D8F"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CRPC=</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POE-Anticipo y/o pago anticipado</m:t>
              </m:r>
            </m:num>
            <m:den>
              <m:r>
                <w:rPr>
                  <w:rFonts w:ascii="Cambria Math" w:eastAsia="Cambria Math" w:hAnsi="Cambria Math" w:cs="Cambria Math"/>
                  <w:color w:val="000000"/>
                  <w:sz w:val="22"/>
                  <w:szCs w:val="22"/>
                </w:rPr>
                <m:t>Plazo estimado (meses)</m:t>
              </m:r>
            </m:den>
          </m:f>
          <m:r>
            <w:rPr>
              <w:rFonts w:ascii="Cambria Math" w:eastAsia="Cambria Math" w:hAnsi="Cambria Math" w:cs="Cambria Math"/>
              <w:color w:val="000000"/>
              <w:sz w:val="22"/>
              <w:szCs w:val="22"/>
            </w:rPr>
            <m:t>*12</m:t>
          </m:r>
        </m:oMath>
      </m:oMathPara>
    </w:p>
    <w:p w14:paraId="18FCB4D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1B2401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6" w:name="_heading=h.3afdsoot9z6x" w:colFirst="0" w:colLast="0"/>
      <w:bookmarkEnd w:id="26"/>
      <w:r w:rsidRPr="00283E81">
        <w:rPr>
          <w:rFonts w:ascii="Garamond" w:hAnsi="Garamond"/>
          <w:b/>
          <w:color w:val="000000"/>
          <w:sz w:val="22"/>
          <w:szCs w:val="22"/>
        </w:rPr>
        <w:t>CÁLCULO DE LA CAPACIDAD RESIDUAL DEL PROPONENTE (CRP)</w:t>
      </w:r>
    </w:p>
    <w:p w14:paraId="1E50D39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DD16A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capacidad residual del Proponente se calculará de la siguiente manera:</w:t>
      </w:r>
    </w:p>
    <w:p w14:paraId="05EF57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FE14F6"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CRP=CO*</m:t>
          </m:r>
          <m:d>
            <m:dPr>
              <m:begChr m:val="["/>
              <m:endChr m:val="]"/>
              <m:ctrlPr>
                <w:rPr>
                  <w:rFonts w:ascii="Cambria Math" w:eastAsia="Cambria Math" w:hAnsi="Cambria Math" w:cs="Cambria Math"/>
                  <w:color w:val="000000"/>
                  <w:sz w:val="22"/>
                  <w:szCs w:val="22"/>
                </w:rPr>
              </m:ctrlPr>
            </m:dPr>
            <m:e>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(E+CT+CF)</m:t>
                  </m:r>
                </m:num>
                <m:den>
                  <m:r>
                    <w:rPr>
                      <w:rFonts w:ascii="Cambria Math" w:eastAsia="Cambria Math" w:hAnsi="Cambria Math" w:cs="Cambria Math"/>
                      <w:color w:val="000000"/>
                      <w:sz w:val="22"/>
                      <w:szCs w:val="22"/>
                    </w:rPr>
                    <m:t>100</m:t>
                  </m:r>
                </m:den>
              </m:f>
            </m:e>
          </m:d>
          <m:r>
            <w:rPr>
              <w:rFonts w:ascii="Cambria Math" w:eastAsia="Cambria Math" w:hAnsi="Cambria Math" w:cs="Cambria Math"/>
              <w:color w:val="000000"/>
              <w:sz w:val="22"/>
              <w:szCs w:val="22"/>
            </w:rPr>
            <m:t>-SCE</m:t>
          </m:r>
        </m:oMath>
      </m:oMathPara>
    </w:p>
    <w:p w14:paraId="3376F450" w14:textId="77777777" w:rsidR="00E12C5A" w:rsidRPr="00283E81" w:rsidRDefault="00E12C5A" w:rsidP="00E12C5A">
      <w:pPr>
        <w:widowControl/>
        <w:pBdr>
          <w:top w:val="nil"/>
          <w:left w:val="nil"/>
          <w:bottom w:val="nil"/>
          <w:right w:val="nil"/>
          <w:between w:val="nil"/>
        </w:pBdr>
        <w:ind w:left="284" w:right="116"/>
        <w:jc w:val="both"/>
        <w:rPr>
          <w:rFonts w:ascii="Garamond" w:hAnsi="Garamond"/>
          <w:i/>
          <w:color w:val="000000"/>
          <w:sz w:val="22"/>
          <w:szCs w:val="22"/>
        </w:rPr>
      </w:pPr>
    </w:p>
    <w:p w14:paraId="75877DD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donde: </w:t>
      </w:r>
    </w:p>
    <w:p w14:paraId="69F2DC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03B9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CRP </w:t>
      </w:r>
      <w:r w:rsidRPr="00283E81">
        <w:rPr>
          <w:rFonts w:ascii="Garamond" w:hAnsi="Garamond"/>
          <w:color w:val="000000"/>
          <w:sz w:val="22"/>
          <w:szCs w:val="22"/>
        </w:rPr>
        <w:tab/>
        <w:t>=</w:t>
      </w:r>
      <w:r w:rsidRPr="00283E81">
        <w:rPr>
          <w:rFonts w:ascii="Garamond" w:hAnsi="Garamond"/>
          <w:color w:val="000000"/>
          <w:sz w:val="22"/>
          <w:szCs w:val="22"/>
        </w:rPr>
        <w:tab/>
        <w:t xml:space="preserve">Capacidad residual del Proponente </w:t>
      </w:r>
    </w:p>
    <w:p w14:paraId="1ADF31E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CO </w:t>
      </w:r>
      <w:r w:rsidRPr="00283E81">
        <w:rPr>
          <w:rFonts w:ascii="Garamond" w:hAnsi="Garamond"/>
          <w:color w:val="000000"/>
          <w:sz w:val="22"/>
          <w:szCs w:val="22"/>
        </w:rPr>
        <w:tab/>
        <w:t xml:space="preserve">= </w:t>
      </w:r>
      <w:r w:rsidRPr="00283E81">
        <w:rPr>
          <w:rFonts w:ascii="Garamond" w:hAnsi="Garamond"/>
          <w:color w:val="000000"/>
          <w:sz w:val="22"/>
          <w:szCs w:val="22"/>
        </w:rPr>
        <w:tab/>
        <w:t xml:space="preserve">Capacidad de Organización </w:t>
      </w:r>
    </w:p>
    <w:p w14:paraId="7F89CF9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 </w:t>
      </w:r>
      <w:r w:rsidRPr="00283E81">
        <w:rPr>
          <w:rFonts w:ascii="Garamond" w:hAnsi="Garamond"/>
          <w:color w:val="000000"/>
          <w:sz w:val="22"/>
          <w:szCs w:val="22"/>
        </w:rPr>
        <w:tab/>
        <w:t xml:space="preserve">= </w:t>
      </w:r>
      <w:r w:rsidRPr="00283E81">
        <w:rPr>
          <w:rFonts w:ascii="Garamond" w:hAnsi="Garamond"/>
          <w:color w:val="000000"/>
          <w:sz w:val="22"/>
          <w:szCs w:val="22"/>
        </w:rPr>
        <w:tab/>
        <w:t>Experiencia</w:t>
      </w:r>
    </w:p>
    <w:p w14:paraId="64ECE2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CT </w:t>
      </w:r>
      <w:r w:rsidRPr="00283E81">
        <w:rPr>
          <w:rFonts w:ascii="Garamond" w:hAnsi="Garamond"/>
          <w:color w:val="000000"/>
          <w:sz w:val="22"/>
          <w:szCs w:val="22"/>
        </w:rPr>
        <w:tab/>
        <w:t xml:space="preserve">= </w:t>
      </w:r>
      <w:r w:rsidRPr="00283E81">
        <w:rPr>
          <w:rFonts w:ascii="Garamond" w:hAnsi="Garamond"/>
          <w:color w:val="000000"/>
          <w:sz w:val="22"/>
          <w:szCs w:val="22"/>
        </w:rPr>
        <w:tab/>
        <w:t>Capacidad Técnica</w:t>
      </w:r>
    </w:p>
    <w:p w14:paraId="6EB6D6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CF</w:t>
      </w:r>
      <w:r w:rsidRPr="00283E81">
        <w:rPr>
          <w:rFonts w:ascii="Garamond" w:hAnsi="Garamond"/>
          <w:color w:val="000000"/>
          <w:sz w:val="22"/>
          <w:szCs w:val="22"/>
        </w:rPr>
        <w:tab/>
        <w:t xml:space="preserve">= </w:t>
      </w:r>
      <w:r w:rsidRPr="00283E81">
        <w:rPr>
          <w:rFonts w:ascii="Garamond" w:hAnsi="Garamond"/>
          <w:color w:val="000000"/>
          <w:sz w:val="22"/>
          <w:szCs w:val="22"/>
        </w:rPr>
        <w:tab/>
        <w:t>Capacidad Financiera</w:t>
      </w:r>
    </w:p>
    <w:p w14:paraId="7749E60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SCE </w:t>
      </w:r>
      <w:r w:rsidRPr="00283E81">
        <w:rPr>
          <w:rFonts w:ascii="Garamond" w:hAnsi="Garamond"/>
          <w:color w:val="000000"/>
          <w:sz w:val="22"/>
          <w:szCs w:val="22"/>
        </w:rPr>
        <w:tab/>
        <w:t xml:space="preserve">= </w:t>
      </w:r>
      <w:r w:rsidRPr="00283E81">
        <w:rPr>
          <w:rFonts w:ascii="Garamond" w:hAnsi="Garamond"/>
          <w:color w:val="000000"/>
          <w:sz w:val="22"/>
          <w:szCs w:val="22"/>
        </w:rPr>
        <w:tab/>
        <w:t>Saldos de Contratos en Ejecución</w:t>
      </w:r>
    </w:p>
    <w:p w14:paraId="69098DE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95B32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CRP del Proponente Plural es la suma de la capacidad residual de cada uno de sus integrantes, sin tener en cuenta el porcentaje de participación de estos en la estructura plural; lo anterior, en cumplimiento de lo dispuesto para tal fin en la Guía para Determinar y Verificar la Capacidad Residual del Proponente en los Procesos de Contratación de Obra Pública, de Colombia Compra Eficiente. En caso de ser negativa la capacidad residual de uno de los integrantes, este valor se restará de la capacidad residual total del Proponente Plural.</w:t>
      </w:r>
    </w:p>
    <w:p w14:paraId="4006D00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066CB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 cada uno de los factores se le asigna máximo el siguiente puntaje:</w:t>
      </w:r>
    </w:p>
    <w:p w14:paraId="62A145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582" w:type="dxa"/>
        <w:jc w:val="center"/>
        <w:tblLayout w:type="fixed"/>
        <w:tblLook w:val="0400" w:firstRow="0" w:lastRow="0" w:firstColumn="0" w:lastColumn="0" w:noHBand="0" w:noVBand="1"/>
      </w:tblPr>
      <w:tblGrid>
        <w:gridCol w:w="2739"/>
        <w:gridCol w:w="1843"/>
      </w:tblGrid>
      <w:tr w:rsidR="00E12C5A" w:rsidRPr="00283E81" w14:paraId="2770F023" w14:textId="77777777" w:rsidTr="00A111D3">
        <w:trPr>
          <w:trHeight w:val="397"/>
          <w:tblHeader/>
          <w:jc w:val="center"/>
        </w:trPr>
        <w:tc>
          <w:tcPr>
            <w:tcW w:w="2739" w:type="dxa"/>
            <w:tcBorders>
              <w:top w:val="single" w:sz="4" w:space="0" w:color="000000"/>
              <w:left w:val="single" w:sz="4" w:space="0" w:color="000000"/>
              <w:bottom w:val="single" w:sz="6" w:space="0" w:color="000000"/>
              <w:right w:val="single" w:sz="6" w:space="0" w:color="000000"/>
            </w:tcBorders>
            <w:shd w:val="clear" w:color="auto" w:fill="404040"/>
            <w:vAlign w:val="center"/>
          </w:tcPr>
          <w:p w14:paraId="600296E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themeColor="background1"/>
                <w:sz w:val="22"/>
                <w:szCs w:val="22"/>
              </w:rPr>
            </w:pPr>
            <w:r w:rsidRPr="00283E81">
              <w:rPr>
                <w:rFonts w:ascii="Garamond" w:hAnsi="Garamond"/>
                <w:b/>
                <w:color w:val="FFFFFF" w:themeColor="background1"/>
                <w:sz w:val="22"/>
                <w:szCs w:val="22"/>
              </w:rPr>
              <w:t>Factor</w:t>
            </w:r>
          </w:p>
        </w:tc>
        <w:tc>
          <w:tcPr>
            <w:tcW w:w="1843" w:type="dxa"/>
            <w:tcBorders>
              <w:top w:val="single" w:sz="4" w:space="0" w:color="000000"/>
              <w:left w:val="single" w:sz="6" w:space="0" w:color="000000"/>
              <w:bottom w:val="single" w:sz="6" w:space="0" w:color="000000"/>
              <w:right w:val="single" w:sz="4" w:space="0" w:color="000000"/>
            </w:tcBorders>
            <w:shd w:val="clear" w:color="auto" w:fill="404040"/>
            <w:vAlign w:val="center"/>
          </w:tcPr>
          <w:p w14:paraId="5E636D9C"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themeColor="background1"/>
                <w:sz w:val="22"/>
                <w:szCs w:val="22"/>
              </w:rPr>
            </w:pPr>
            <w:r w:rsidRPr="00283E81">
              <w:rPr>
                <w:rFonts w:ascii="Garamond" w:hAnsi="Garamond"/>
                <w:b/>
                <w:color w:val="FFFFFF" w:themeColor="background1"/>
                <w:sz w:val="22"/>
                <w:szCs w:val="22"/>
              </w:rPr>
              <w:t>Puntaje máximo</w:t>
            </w:r>
          </w:p>
        </w:tc>
      </w:tr>
      <w:tr w:rsidR="00E12C5A" w:rsidRPr="00283E81" w14:paraId="2578629E"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32B928DC"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Experiencia (E)</w:t>
            </w:r>
          </w:p>
        </w:tc>
        <w:tc>
          <w:tcPr>
            <w:tcW w:w="1843" w:type="dxa"/>
            <w:tcBorders>
              <w:top w:val="single" w:sz="6" w:space="0" w:color="000000"/>
              <w:left w:val="single" w:sz="6" w:space="0" w:color="000000"/>
              <w:bottom w:val="single" w:sz="6" w:space="0" w:color="000000"/>
              <w:right w:val="single" w:sz="4" w:space="0" w:color="000000"/>
            </w:tcBorders>
            <w:vAlign w:val="center"/>
          </w:tcPr>
          <w:p w14:paraId="046157F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w:t>
            </w:r>
          </w:p>
        </w:tc>
      </w:tr>
      <w:tr w:rsidR="00E12C5A" w:rsidRPr="00283E81" w14:paraId="21B7DB0B"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166C109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Capacidad financiera (CF) </w:t>
            </w:r>
          </w:p>
        </w:tc>
        <w:tc>
          <w:tcPr>
            <w:tcW w:w="1843" w:type="dxa"/>
            <w:tcBorders>
              <w:top w:val="single" w:sz="6" w:space="0" w:color="000000"/>
              <w:left w:val="single" w:sz="6" w:space="0" w:color="000000"/>
              <w:bottom w:val="single" w:sz="6" w:space="0" w:color="000000"/>
              <w:right w:val="single" w:sz="4" w:space="0" w:color="000000"/>
            </w:tcBorders>
            <w:vAlign w:val="center"/>
          </w:tcPr>
          <w:p w14:paraId="4AC5CF8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r w:rsidR="00E12C5A" w:rsidRPr="00283E81" w14:paraId="53A7813F"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255AFCC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Capacidad técnica (CT) </w:t>
            </w:r>
          </w:p>
        </w:tc>
        <w:tc>
          <w:tcPr>
            <w:tcW w:w="1843" w:type="dxa"/>
            <w:tcBorders>
              <w:top w:val="single" w:sz="6" w:space="0" w:color="000000"/>
              <w:left w:val="single" w:sz="6" w:space="0" w:color="000000"/>
              <w:bottom w:val="single" w:sz="6" w:space="0" w:color="000000"/>
              <w:right w:val="single" w:sz="4" w:space="0" w:color="000000"/>
            </w:tcBorders>
            <w:vAlign w:val="center"/>
          </w:tcPr>
          <w:p w14:paraId="2EA0389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r w:rsidR="00E12C5A" w:rsidRPr="00283E81" w14:paraId="14BCDCAC" w14:textId="77777777" w:rsidTr="00A111D3">
        <w:trPr>
          <w:trHeight w:val="20"/>
          <w:jc w:val="center"/>
        </w:trPr>
        <w:tc>
          <w:tcPr>
            <w:tcW w:w="2739" w:type="dxa"/>
            <w:tcBorders>
              <w:top w:val="single" w:sz="6" w:space="0" w:color="000000"/>
              <w:left w:val="single" w:sz="4" w:space="0" w:color="000000"/>
              <w:bottom w:val="single" w:sz="4" w:space="0" w:color="000000"/>
              <w:right w:val="single" w:sz="6" w:space="0" w:color="000000"/>
            </w:tcBorders>
            <w:vAlign w:val="center"/>
          </w:tcPr>
          <w:p w14:paraId="5C1634E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Total </w:t>
            </w:r>
          </w:p>
        </w:tc>
        <w:tc>
          <w:tcPr>
            <w:tcW w:w="1843" w:type="dxa"/>
            <w:tcBorders>
              <w:top w:val="single" w:sz="6" w:space="0" w:color="000000"/>
              <w:left w:val="single" w:sz="6" w:space="0" w:color="000000"/>
              <w:bottom w:val="single" w:sz="4" w:space="0" w:color="000000"/>
              <w:right w:val="single" w:sz="4" w:space="0" w:color="000000"/>
            </w:tcBorders>
            <w:vAlign w:val="center"/>
          </w:tcPr>
          <w:p w14:paraId="5AF8C57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200</w:t>
            </w:r>
          </w:p>
        </w:tc>
      </w:tr>
    </w:tbl>
    <w:p w14:paraId="2C6A75E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B3AA4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Capacidad de Organización (CO) no tiene asignación de puntaje en la fórmula porque su unidad de medida es en Pesos Colombianos y constituye un factor multiplicador de los demás factores.</w:t>
      </w:r>
    </w:p>
    <w:p w14:paraId="63C553B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42A249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cálculo de cada uno de los factores procede como sigue:</w:t>
      </w:r>
    </w:p>
    <w:p w14:paraId="7FCAB82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F06ACD2"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lastRenderedPageBreak/>
        <w:t>Capacidad de Organización (CO):</w:t>
      </w:r>
    </w:p>
    <w:p w14:paraId="5E20BE3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92F35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factor (CO) corresponde a los Ingresos Operacionales del Proponente teniendo en cuenta lo siguiente:</w:t>
      </w:r>
    </w:p>
    <w:p w14:paraId="131410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9374" w:type="dxa"/>
        <w:jc w:val="center"/>
        <w:tblLayout w:type="fixed"/>
        <w:tblLook w:val="0400" w:firstRow="0" w:lastRow="0" w:firstColumn="0" w:lastColumn="0" w:noHBand="0" w:noVBand="1"/>
      </w:tblPr>
      <w:tblGrid>
        <w:gridCol w:w="3120"/>
        <w:gridCol w:w="6254"/>
      </w:tblGrid>
      <w:tr w:rsidR="00E12C5A" w:rsidRPr="00283E81" w14:paraId="1FD99D64" w14:textId="77777777" w:rsidTr="00A111D3">
        <w:trPr>
          <w:trHeight w:val="218"/>
          <w:tblHeader/>
          <w:jc w:val="center"/>
        </w:trPr>
        <w:tc>
          <w:tcPr>
            <w:tcW w:w="3120" w:type="dxa"/>
            <w:tcBorders>
              <w:top w:val="single" w:sz="4" w:space="0" w:color="000000"/>
              <w:left w:val="single" w:sz="4" w:space="0" w:color="000000"/>
              <w:bottom w:val="single" w:sz="6" w:space="0" w:color="000000"/>
              <w:right w:val="single" w:sz="6" w:space="0" w:color="000000"/>
            </w:tcBorders>
            <w:shd w:val="clear" w:color="auto" w:fill="404040"/>
            <w:vAlign w:val="center"/>
          </w:tcPr>
          <w:p w14:paraId="03DB9F4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 xml:space="preserve">Años de información financiera </w:t>
            </w:r>
          </w:p>
        </w:tc>
        <w:tc>
          <w:tcPr>
            <w:tcW w:w="6254" w:type="dxa"/>
            <w:tcBorders>
              <w:top w:val="single" w:sz="4" w:space="0" w:color="000000"/>
              <w:left w:val="single" w:sz="6" w:space="0" w:color="000000"/>
              <w:bottom w:val="single" w:sz="6" w:space="0" w:color="000000"/>
              <w:right w:val="single" w:sz="4" w:space="0" w:color="000000"/>
            </w:tcBorders>
            <w:shd w:val="clear" w:color="auto" w:fill="404040"/>
            <w:vAlign w:val="center"/>
          </w:tcPr>
          <w:p w14:paraId="1B79846A"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 xml:space="preserve">Capacidad de organización (CO) </w:t>
            </w:r>
          </w:p>
        </w:tc>
      </w:tr>
      <w:tr w:rsidR="00E12C5A" w:rsidRPr="00283E81" w14:paraId="4A22F20A" w14:textId="77777777" w:rsidTr="00A111D3">
        <w:trPr>
          <w:trHeight w:val="391"/>
          <w:jc w:val="center"/>
        </w:trPr>
        <w:tc>
          <w:tcPr>
            <w:tcW w:w="3120" w:type="dxa"/>
            <w:tcBorders>
              <w:top w:val="single" w:sz="6" w:space="0" w:color="000000"/>
              <w:left w:val="single" w:sz="4" w:space="0" w:color="000000"/>
              <w:bottom w:val="single" w:sz="6" w:space="0" w:color="000000"/>
              <w:right w:val="single" w:sz="6" w:space="0" w:color="000000"/>
            </w:tcBorders>
            <w:vAlign w:val="center"/>
          </w:tcPr>
          <w:p w14:paraId="7A77D8B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Cinco (5) años o más</w:t>
            </w:r>
          </w:p>
        </w:tc>
        <w:tc>
          <w:tcPr>
            <w:tcW w:w="6254" w:type="dxa"/>
            <w:tcBorders>
              <w:top w:val="single" w:sz="6" w:space="0" w:color="000000"/>
              <w:left w:val="single" w:sz="6" w:space="0" w:color="000000"/>
              <w:bottom w:val="single" w:sz="6" w:space="0" w:color="000000"/>
              <w:right w:val="single" w:sz="4" w:space="0" w:color="000000"/>
            </w:tcBorders>
          </w:tcPr>
          <w:p w14:paraId="62C2116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 ingreso operacional de los últimos 5 años</w:t>
            </w:r>
          </w:p>
        </w:tc>
      </w:tr>
      <w:tr w:rsidR="00E12C5A" w:rsidRPr="00283E81" w14:paraId="0E18A9DD" w14:textId="77777777" w:rsidTr="00A111D3">
        <w:trPr>
          <w:trHeight w:val="241"/>
          <w:jc w:val="center"/>
        </w:trPr>
        <w:tc>
          <w:tcPr>
            <w:tcW w:w="3120" w:type="dxa"/>
            <w:tcBorders>
              <w:top w:val="single" w:sz="6" w:space="0" w:color="000000"/>
              <w:left w:val="single" w:sz="4" w:space="0" w:color="000000"/>
              <w:bottom w:val="single" w:sz="6" w:space="0" w:color="000000"/>
              <w:right w:val="single" w:sz="6" w:space="0" w:color="000000"/>
            </w:tcBorders>
            <w:vAlign w:val="center"/>
          </w:tcPr>
          <w:p w14:paraId="39AC3E0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Entre uno (1) y cinco (5) años</w:t>
            </w:r>
          </w:p>
        </w:tc>
        <w:tc>
          <w:tcPr>
            <w:tcW w:w="6254" w:type="dxa"/>
            <w:tcBorders>
              <w:top w:val="single" w:sz="6" w:space="0" w:color="000000"/>
              <w:left w:val="single" w:sz="6" w:space="0" w:color="000000"/>
              <w:bottom w:val="single" w:sz="6" w:space="0" w:color="000000"/>
              <w:right w:val="single" w:sz="4" w:space="0" w:color="000000"/>
            </w:tcBorders>
          </w:tcPr>
          <w:p w14:paraId="1FD3741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Mayor ingreso operacional de los años de existencia del Proponente. </w:t>
            </w:r>
          </w:p>
        </w:tc>
      </w:tr>
      <w:tr w:rsidR="00E12C5A" w:rsidRPr="00283E81" w14:paraId="337833DB" w14:textId="77777777" w:rsidTr="00A111D3">
        <w:trPr>
          <w:trHeight w:val="245"/>
          <w:jc w:val="center"/>
        </w:trPr>
        <w:tc>
          <w:tcPr>
            <w:tcW w:w="3120" w:type="dxa"/>
            <w:tcBorders>
              <w:top w:val="single" w:sz="6" w:space="0" w:color="000000"/>
              <w:left w:val="single" w:sz="4" w:space="0" w:color="000000"/>
              <w:bottom w:val="single" w:sz="4" w:space="0" w:color="000000"/>
              <w:right w:val="single" w:sz="6" w:space="0" w:color="000000"/>
            </w:tcBorders>
            <w:vAlign w:val="center"/>
          </w:tcPr>
          <w:p w14:paraId="6339362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Menos de un (1) año (*)</w:t>
            </w:r>
          </w:p>
        </w:tc>
        <w:tc>
          <w:tcPr>
            <w:tcW w:w="6254" w:type="dxa"/>
            <w:tcBorders>
              <w:top w:val="single" w:sz="6" w:space="0" w:color="000000"/>
              <w:left w:val="single" w:sz="6" w:space="0" w:color="000000"/>
              <w:bottom w:val="single" w:sz="4" w:space="0" w:color="000000"/>
              <w:right w:val="single" w:sz="4" w:space="0" w:color="000000"/>
            </w:tcBorders>
          </w:tcPr>
          <w:p w14:paraId="24DFA98C"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USD 125.000 (Liquidados a la tasa de cambio determinada por el Ministerio de Comercio, Industria y Turismo cada 2 años para efectos del umbral del beneficio de las Mipyme.)</w:t>
            </w:r>
          </w:p>
        </w:tc>
      </w:tr>
    </w:tbl>
    <w:p w14:paraId="256A23C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EBBDF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los ingresos operacionales del Proponente con uno (1) o más años de información financiera es menor a USD125.000, el factor (CO) del Proponente es igual a USD125.000.</w:t>
      </w:r>
    </w:p>
    <w:p w14:paraId="35E2C44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90D03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(CO) el Proponente obligado a tener RUP debe presentar los siguientes documentos:</w:t>
      </w:r>
    </w:p>
    <w:p w14:paraId="699030C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AB6275" w14:textId="77777777" w:rsidR="00E12C5A" w:rsidRPr="00283E81" w:rsidRDefault="00E12C5A" w:rsidP="003400E2">
      <w:pPr>
        <w:widowControl/>
        <w:numPr>
          <w:ilvl w:val="0"/>
          <w:numId w:val="69"/>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Estado de resultados integral (estado de resultado o pérdida o ganancias), del año en que hayan obtenido el mayor ingreso operacional en los últimos cinco (5) años, debidamente firmado por el representante legal y el contador bajo cuya responsabilidad se han preparado y por el revisor fiscal o, en caso de no haberlo, por no estar obligado a tenerlo, por contador público independiente, acompañados de su dictamen u opinión de conformidad con el artículo 38 de la Ley 222 de 1995. </w:t>
      </w:r>
    </w:p>
    <w:p w14:paraId="58ED167E" w14:textId="77777777" w:rsidR="00E12C5A" w:rsidRPr="00283E81" w:rsidRDefault="00E12C5A" w:rsidP="003400E2">
      <w:pPr>
        <w:widowControl/>
        <w:numPr>
          <w:ilvl w:val="0"/>
          <w:numId w:val="69"/>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Copia de la tarjeta profesional y certificado de antecedentes disciplinarios vigentes de los contadores públicos, revisores fiscales, contadores independientes (externos), quienes suscribieron los documentos señalados en el presente literal. </w:t>
      </w:r>
    </w:p>
    <w:p w14:paraId="1A84C0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1DA01C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personas naturales o jurídicas extranjeras sin domicilio o Sucursal en Colombia, deben presentar el estado de resultados integral consolidado (estado de resultados o pérdida o ganancias) del año en que hayan obtenido el mayor ingreso operacional en los últimos cinco (5) años, auditado, con la firma de quien se encuentre en obligación de hacerlo, de acuerdo con la normativa vigente en el país de origen, en la moneda legal del país en el cual fue emitido, de conformidad con la legislación propia del país de origen.</w:t>
      </w:r>
    </w:p>
    <w:p w14:paraId="538440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39B566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Adicional a lo anterior, deben allegar la traducción al idioma castellano de la información financiera, observando lo siguiente: i) los valores deben ser expresados Pesos Colombianos, convertidos a la tasa representativa del mercado (TRM) de la fecha de corte de los mismos, en los términos descritos en la sección 1.13 del Pliego de Condiciones;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presentados de acuerdo con las normas NIIF;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firmados por el contador público colombiano que los hubiere convertido.</w:t>
      </w:r>
    </w:p>
    <w:p w14:paraId="494E48B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478CA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Si alguno de estos requerimientos no aplica en el país del domicilio del Proponente extranjero, el representante legal o el apoderado en Colombia deberán hacerlo constar bajo la gravedad de juramento. Así mismo se podrá acreditar este requisito por una  firma de auditora externa.</w:t>
      </w:r>
    </w:p>
    <w:p w14:paraId="62EB16F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DDD694"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Experiencia (E):</w:t>
      </w:r>
    </w:p>
    <w:p w14:paraId="2C7DD07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1B36A3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factor (E) del Proponente para propósitos de la capacidad residual es acreditado por medio de la relación entre: i) el valor total en Pesos de los contratos relacionados con la actividad de la construcción inscritos por el Proponente en el RUP, o Formato 5 – Capacidad residual en el segmento 72 “Servicios de Edificación, Construcción de Instalaciones y Mantenimiento” del Clasificador de Bienes y Servicios; y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el Presupuesto Oficial del Proceso de Contratación.</w:t>
      </w:r>
    </w:p>
    <w:p w14:paraId="0AFF1CB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7FD9D2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relación indica el número de veces que el Proponente ha ejecutado contratos equivalentes a la cuantía del Proceso de Contratación objeto de la acreditación de la capacidad residual. Para Proponentes individuales se expresa así:</w:t>
      </w:r>
    </w:p>
    <w:p w14:paraId="5783BB7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BC72DD"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E=</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 xml:space="preserve">Valor total de los contratos </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COP</m:t>
                  </m:r>
                </m:e>
              </m:d>
            </m:num>
            <m:den>
              <m:r>
                <w:rPr>
                  <w:rFonts w:ascii="Cambria Math" w:eastAsia="Cambria Math" w:hAnsi="Cambria Math" w:cs="Cambria Math"/>
                  <w:color w:val="000000"/>
                  <w:sz w:val="22"/>
                  <w:szCs w:val="22"/>
                </w:rPr>
                <m:t xml:space="preserve">Presupuesto total estimado </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COP</m:t>
                  </m:r>
                </m:e>
              </m:d>
            </m:den>
          </m:f>
        </m:oMath>
      </m:oMathPara>
    </w:p>
    <w:p w14:paraId="1F8F7AE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E6BACA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Proponentes Plurales, el factor (E) de un integrante se calcula así:</w:t>
      </w:r>
    </w:p>
    <w:p w14:paraId="63CAE18C"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E=</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Valor total de los contratos (COP)</m:t>
              </m:r>
            </m:num>
            <m:den>
              <m:r>
                <w:rPr>
                  <w:rFonts w:ascii="Cambria Math" w:eastAsia="Cambria Math" w:hAnsi="Cambria Math" w:cs="Cambria Math"/>
                  <w:color w:val="000000"/>
                  <w:sz w:val="22"/>
                  <w:szCs w:val="22"/>
                </w:rPr>
                <m:t>(Presupuesto total estimado *% de participación)</m:t>
              </m:r>
            </m:den>
          </m:f>
        </m:oMath>
      </m:oMathPara>
    </w:p>
    <w:p w14:paraId="793BAD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16D625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cálculo del factor (E) para efectos de la capacidad residual de un integrante de un Proponente Plural debe tener en cuenta su participación en el Proceso de Contratación objeto del cálculo de la capacidad residual. Si el Proponente no es plural no hay lugar a porcentaje.</w:t>
      </w:r>
    </w:p>
    <w:p w14:paraId="5C637D6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CE964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al factor (E) será asignado con base en la siguiente tabla:</w:t>
      </w:r>
    </w:p>
    <w:p w14:paraId="63693B5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5818"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702"/>
        <w:gridCol w:w="2299"/>
        <w:gridCol w:w="1817"/>
      </w:tblGrid>
      <w:tr w:rsidR="00E12C5A" w:rsidRPr="00283E81" w14:paraId="15354FDE" w14:textId="77777777" w:rsidTr="00277E2A">
        <w:trPr>
          <w:trHeight w:val="340"/>
          <w:tblHeader/>
          <w:jc w:val="center"/>
        </w:trPr>
        <w:tc>
          <w:tcPr>
            <w:tcW w:w="1702" w:type="dxa"/>
            <w:shd w:val="clear" w:color="auto" w:fill="404040"/>
            <w:vAlign w:val="center"/>
          </w:tcPr>
          <w:p w14:paraId="5716BFD7"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Mayor a</w:t>
            </w:r>
          </w:p>
        </w:tc>
        <w:tc>
          <w:tcPr>
            <w:tcW w:w="2299" w:type="dxa"/>
            <w:shd w:val="clear" w:color="auto" w:fill="404040"/>
            <w:vAlign w:val="center"/>
          </w:tcPr>
          <w:p w14:paraId="1ECA7446"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Menor o igual a</w:t>
            </w:r>
          </w:p>
        </w:tc>
        <w:tc>
          <w:tcPr>
            <w:tcW w:w="1817" w:type="dxa"/>
            <w:shd w:val="clear" w:color="auto" w:fill="404040"/>
            <w:vAlign w:val="center"/>
          </w:tcPr>
          <w:p w14:paraId="57DB5AC0"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Puntaje</w:t>
            </w:r>
          </w:p>
        </w:tc>
      </w:tr>
      <w:tr w:rsidR="00E12C5A" w:rsidRPr="00283E81" w14:paraId="729C527C" w14:textId="77777777" w:rsidTr="00277E2A">
        <w:trPr>
          <w:trHeight w:val="391"/>
          <w:jc w:val="center"/>
        </w:trPr>
        <w:tc>
          <w:tcPr>
            <w:tcW w:w="1702" w:type="dxa"/>
            <w:vAlign w:val="center"/>
          </w:tcPr>
          <w:p w14:paraId="3945C28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w:t>
            </w:r>
          </w:p>
        </w:tc>
        <w:tc>
          <w:tcPr>
            <w:tcW w:w="2299" w:type="dxa"/>
            <w:vAlign w:val="center"/>
          </w:tcPr>
          <w:p w14:paraId="444393F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w:t>
            </w:r>
          </w:p>
        </w:tc>
        <w:tc>
          <w:tcPr>
            <w:tcW w:w="1817" w:type="dxa"/>
            <w:vAlign w:val="center"/>
          </w:tcPr>
          <w:p w14:paraId="6F8F96E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60</w:t>
            </w:r>
          </w:p>
        </w:tc>
      </w:tr>
      <w:tr w:rsidR="00E12C5A" w:rsidRPr="00283E81" w14:paraId="25DA20CD" w14:textId="77777777" w:rsidTr="00277E2A">
        <w:trPr>
          <w:trHeight w:val="241"/>
          <w:jc w:val="center"/>
        </w:trPr>
        <w:tc>
          <w:tcPr>
            <w:tcW w:w="1702" w:type="dxa"/>
            <w:vAlign w:val="center"/>
          </w:tcPr>
          <w:p w14:paraId="72155EF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w:t>
            </w:r>
          </w:p>
        </w:tc>
        <w:tc>
          <w:tcPr>
            <w:tcW w:w="2299" w:type="dxa"/>
            <w:vAlign w:val="center"/>
          </w:tcPr>
          <w:p w14:paraId="38E86C8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1817" w:type="dxa"/>
            <w:vAlign w:val="center"/>
          </w:tcPr>
          <w:p w14:paraId="4797CE8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80</w:t>
            </w:r>
          </w:p>
        </w:tc>
      </w:tr>
      <w:tr w:rsidR="00E12C5A" w:rsidRPr="00283E81" w14:paraId="45520D06" w14:textId="77777777" w:rsidTr="00277E2A">
        <w:trPr>
          <w:trHeight w:val="245"/>
          <w:jc w:val="center"/>
        </w:trPr>
        <w:tc>
          <w:tcPr>
            <w:tcW w:w="1702" w:type="dxa"/>
            <w:vAlign w:val="center"/>
          </w:tcPr>
          <w:p w14:paraId="3C292E9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2299" w:type="dxa"/>
            <w:vAlign w:val="center"/>
          </w:tcPr>
          <w:p w14:paraId="12EC3F3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1817" w:type="dxa"/>
            <w:vAlign w:val="center"/>
          </w:tcPr>
          <w:p w14:paraId="0C416F2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r>
      <w:tr w:rsidR="00E12C5A" w:rsidRPr="00283E81" w14:paraId="4EC837D0" w14:textId="77777777" w:rsidTr="00277E2A">
        <w:trPr>
          <w:trHeight w:val="245"/>
          <w:jc w:val="center"/>
        </w:trPr>
        <w:tc>
          <w:tcPr>
            <w:tcW w:w="1702" w:type="dxa"/>
            <w:vAlign w:val="center"/>
          </w:tcPr>
          <w:p w14:paraId="77CA818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2299" w:type="dxa"/>
            <w:vAlign w:val="center"/>
          </w:tcPr>
          <w:p w14:paraId="2ED937B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817" w:type="dxa"/>
            <w:vAlign w:val="center"/>
          </w:tcPr>
          <w:p w14:paraId="5E3C6A5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w:t>
            </w:r>
          </w:p>
        </w:tc>
      </w:tr>
    </w:tbl>
    <w:p w14:paraId="721206D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9D75F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(E), el Proponente debe diligenciar el Formato 5 – Capacidad residual el cual contiene los contratos inscritos en el segmento 72 y su valor total en Pesos Colombianos liquidados con el SMMLV. Así mismo, el Presupuesto Oficial estimado debe ser liquidado con el SMMLV para el año de publicación del Pliego de Condiciones del proceso de selección.</w:t>
      </w:r>
    </w:p>
    <w:p w14:paraId="0BC37B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55FA70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 xml:space="preserve">Los Proponentes o integrantes extranjeros sin domicilio o Sucursal en Colombia, adicionalmente deben aportar copia de los Contratos ejecutados o certificaciones de terceros que hubieran recibido los servicios de construcción de obras civiles bien sean públicos o privados. La información de los Contratos soportados con las certificaciones de terceros que hubieren recibido los servicios de construcción de obras civiles </w:t>
      </w:r>
      <w:proofErr w:type="gramStart"/>
      <w:r w:rsidRPr="00283E81">
        <w:rPr>
          <w:rFonts w:ascii="Garamond" w:hAnsi="Garamond"/>
          <w:color w:val="000000"/>
          <w:sz w:val="22"/>
          <w:szCs w:val="22"/>
        </w:rPr>
        <w:t>deben</w:t>
      </w:r>
      <w:proofErr w:type="gramEnd"/>
      <w:r w:rsidRPr="00283E81">
        <w:rPr>
          <w:rFonts w:ascii="Garamond" w:hAnsi="Garamond"/>
          <w:color w:val="000000"/>
          <w:sz w:val="22"/>
          <w:szCs w:val="22"/>
        </w:rPr>
        <w:t xml:space="preserve"> ser obligatoriamente los mismos que el Proponente presente en el Formato 3 – Experiencia. La información del Formato 5 – Capacidad residual deberá ser allegada en Pesos Colombianos, salvo donde se registre el valor del Contrato en la moneda del país de origen. Cuando el valor de los contratos esté expresado en monedas extranjeras deberá convertirse a Pesos Colombianos en los términos indicados en el numeral 1.13 del Pliego de Condiciones.</w:t>
      </w:r>
    </w:p>
    <w:p w14:paraId="21986D8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AE7250" w14:textId="77777777" w:rsidR="00E12C5A" w:rsidRPr="00283E81" w:rsidRDefault="00E12C5A" w:rsidP="003400E2">
      <w:pPr>
        <w:widowControl/>
        <w:numPr>
          <w:ilvl w:val="0"/>
          <w:numId w:val="3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Capacidad Financiera (CF):</w:t>
      </w:r>
    </w:p>
    <w:p w14:paraId="12644F9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D4E16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factor (CF) para propósitos de la capacidad residual se obtiene teniendo en cuenta el índice de liquidez del Proponente con base en la siguiente fórmula:</w:t>
      </w:r>
    </w:p>
    <w:p w14:paraId="27BAFFB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Índice de liquidez = </w:t>
      </w:r>
      <m:oMath>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Activo Corriente</m:t>
            </m:r>
          </m:num>
          <m:den>
            <m:r>
              <w:rPr>
                <w:rFonts w:ascii="Cambria Math" w:eastAsia="Cambria Math" w:hAnsi="Cambria Math" w:cs="Cambria Math"/>
                <w:color w:val="000000"/>
                <w:sz w:val="22"/>
                <w:szCs w:val="22"/>
              </w:rPr>
              <m:t>Pasivo Corriente</m:t>
            </m:r>
          </m:den>
        </m:f>
      </m:oMath>
    </w:p>
    <w:p w14:paraId="4BEFC9B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1B70D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para la liquidez se debe asignar con base en la siguiente tabla:</w:t>
      </w:r>
    </w:p>
    <w:p w14:paraId="3CC3BFE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2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1417"/>
        <w:gridCol w:w="1417"/>
      </w:tblGrid>
      <w:tr w:rsidR="00E12C5A" w:rsidRPr="00283E81" w14:paraId="226DA073" w14:textId="77777777" w:rsidTr="00A111D3">
        <w:trPr>
          <w:trHeight w:val="472"/>
          <w:tblHeader/>
          <w:jc w:val="center"/>
        </w:trPr>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CA56FFC"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Mayor a</w:t>
            </w:r>
          </w:p>
        </w:tc>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1C5EE70"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Menor o igual a</w:t>
            </w:r>
          </w:p>
        </w:tc>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11591B01"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Puntaje</w:t>
            </w:r>
          </w:p>
        </w:tc>
      </w:tr>
      <w:tr w:rsidR="00E12C5A" w:rsidRPr="00283E81" w14:paraId="22CB6DE6"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62B1204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w:t>
            </w:r>
          </w:p>
        </w:tc>
        <w:tc>
          <w:tcPr>
            <w:tcW w:w="1417" w:type="dxa"/>
            <w:tcBorders>
              <w:top w:val="single" w:sz="4" w:space="0" w:color="000000"/>
              <w:left w:val="single" w:sz="4" w:space="0" w:color="000000"/>
              <w:bottom w:val="single" w:sz="4" w:space="0" w:color="000000"/>
              <w:right w:val="single" w:sz="4" w:space="0" w:color="000000"/>
            </w:tcBorders>
            <w:vAlign w:val="center"/>
          </w:tcPr>
          <w:p w14:paraId="402F84E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0,5</w:t>
            </w:r>
          </w:p>
        </w:tc>
        <w:tc>
          <w:tcPr>
            <w:tcW w:w="1417" w:type="dxa"/>
            <w:tcBorders>
              <w:top w:val="single" w:sz="4" w:space="0" w:color="000000"/>
              <w:left w:val="single" w:sz="4" w:space="0" w:color="000000"/>
              <w:bottom w:val="single" w:sz="4" w:space="0" w:color="000000"/>
              <w:right w:val="single" w:sz="4" w:space="0" w:color="000000"/>
            </w:tcBorders>
            <w:vAlign w:val="center"/>
          </w:tcPr>
          <w:p w14:paraId="7A0B691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w:t>
            </w:r>
          </w:p>
        </w:tc>
      </w:tr>
      <w:tr w:rsidR="00E12C5A" w:rsidRPr="00283E81" w14:paraId="31E3E23A"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7143E29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0,5</w:t>
            </w:r>
          </w:p>
        </w:tc>
        <w:tc>
          <w:tcPr>
            <w:tcW w:w="1417" w:type="dxa"/>
            <w:tcBorders>
              <w:top w:val="single" w:sz="4" w:space="0" w:color="000000"/>
              <w:left w:val="single" w:sz="4" w:space="0" w:color="000000"/>
              <w:bottom w:val="single" w:sz="4" w:space="0" w:color="000000"/>
              <w:right w:val="single" w:sz="4" w:space="0" w:color="000000"/>
            </w:tcBorders>
            <w:vAlign w:val="center"/>
          </w:tcPr>
          <w:p w14:paraId="545903D0"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0,75</w:t>
            </w:r>
          </w:p>
        </w:tc>
        <w:tc>
          <w:tcPr>
            <w:tcW w:w="1417" w:type="dxa"/>
            <w:tcBorders>
              <w:top w:val="single" w:sz="4" w:space="0" w:color="000000"/>
              <w:left w:val="single" w:sz="4" w:space="0" w:color="000000"/>
              <w:bottom w:val="single" w:sz="4" w:space="0" w:color="000000"/>
              <w:right w:val="single" w:sz="4" w:space="0" w:color="000000"/>
            </w:tcBorders>
            <w:vAlign w:val="center"/>
          </w:tcPr>
          <w:p w14:paraId="75F422B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25</w:t>
            </w:r>
          </w:p>
        </w:tc>
      </w:tr>
      <w:tr w:rsidR="00E12C5A" w:rsidRPr="00283E81" w14:paraId="125E78E9"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0E6AA3B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0,75</w:t>
            </w:r>
          </w:p>
        </w:tc>
        <w:tc>
          <w:tcPr>
            <w:tcW w:w="1417" w:type="dxa"/>
            <w:tcBorders>
              <w:top w:val="single" w:sz="4" w:space="0" w:color="000000"/>
              <w:left w:val="single" w:sz="4" w:space="0" w:color="000000"/>
              <w:bottom w:val="single" w:sz="4" w:space="0" w:color="000000"/>
              <w:right w:val="single" w:sz="4" w:space="0" w:color="000000"/>
            </w:tcBorders>
            <w:vAlign w:val="center"/>
          </w:tcPr>
          <w:p w14:paraId="2C17526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15C06E9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30</w:t>
            </w:r>
          </w:p>
        </w:tc>
      </w:tr>
      <w:tr w:rsidR="00E12C5A" w:rsidRPr="00283E81" w14:paraId="0618CCC1"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4D513A0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402B8E3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w:t>
            </w:r>
          </w:p>
        </w:tc>
        <w:tc>
          <w:tcPr>
            <w:tcW w:w="1417" w:type="dxa"/>
            <w:tcBorders>
              <w:top w:val="single" w:sz="4" w:space="0" w:color="000000"/>
              <w:left w:val="single" w:sz="4" w:space="0" w:color="000000"/>
              <w:bottom w:val="single" w:sz="4" w:space="0" w:color="000000"/>
              <w:right w:val="single" w:sz="4" w:space="0" w:color="000000"/>
            </w:tcBorders>
            <w:vAlign w:val="center"/>
          </w:tcPr>
          <w:p w14:paraId="61FB708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35</w:t>
            </w:r>
          </w:p>
        </w:tc>
      </w:tr>
      <w:tr w:rsidR="00E12C5A" w:rsidRPr="00283E81" w14:paraId="06FC5A91"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0073B63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w:t>
            </w:r>
          </w:p>
        </w:tc>
        <w:tc>
          <w:tcPr>
            <w:tcW w:w="1417" w:type="dxa"/>
            <w:tcBorders>
              <w:top w:val="single" w:sz="4" w:space="0" w:color="000000"/>
              <w:left w:val="single" w:sz="4" w:space="0" w:color="000000"/>
              <w:bottom w:val="single" w:sz="4" w:space="0" w:color="000000"/>
              <w:right w:val="single" w:sz="4" w:space="0" w:color="000000"/>
            </w:tcBorders>
            <w:vAlign w:val="center"/>
          </w:tcPr>
          <w:p w14:paraId="72216AD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417" w:type="dxa"/>
            <w:tcBorders>
              <w:top w:val="single" w:sz="4" w:space="0" w:color="000000"/>
              <w:left w:val="single" w:sz="4" w:space="0" w:color="000000"/>
              <w:bottom w:val="single" w:sz="4" w:space="0" w:color="000000"/>
              <w:right w:val="single" w:sz="4" w:space="0" w:color="000000"/>
            </w:tcBorders>
            <w:vAlign w:val="center"/>
          </w:tcPr>
          <w:p w14:paraId="070C894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bl>
    <w:p w14:paraId="1A2B2F5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5C4CF9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w:t>
      </w:r>
    </w:p>
    <w:p w14:paraId="6A5C8E4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Proponentes o integrantes extranjeros sin domicilio o Sucursal en Colombia, la información requerida para el factor (CF) exigido para el cálculo de la capacidad residual del Proponente está contemplada en el numeral de los requisitos de capacidad financiera del Pliego de Condiciones.</w:t>
      </w:r>
    </w:p>
    <w:p w14:paraId="7BCBED8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964077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el Proponente tiene un pasivo corriente igual a cero (0) y por consiguiente su índice de liquidez sea indeterminado, la Entidad debe otorgar el mayor puntaje en el componente de capacidad financiera (CF).</w:t>
      </w:r>
    </w:p>
    <w:p w14:paraId="6D7E6B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E5FB27" w14:textId="77777777" w:rsidR="00E12C5A" w:rsidRPr="00283E81" w:rsidRDefault="00E12C5A" w:rsidP="003400E2">
      <w:pPr>
        <w:widowControl/>
        <w:numPr>
          <w:ilvl w:val="0"/>
          <w:numId w:val="3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Capacidad Técnica (CT):</w:t>
      </w:r>
    </w:p>
    <w:p w14:paraId="02E0CCE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05227E1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74AD6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El factor (CT) para propósitos de la capacidad residual se asigna teniendo en cuenta el número de socios y profesionales de la arquitectura, ingeniería y geología vinculados mediante una relación laboral o contractual vigente conforme con la cual desarrollen actividades relacionadas directamente con la construcción.</w:t>
      </w:r>
    </w:p>
    <w:p w14:paraId="2D1D514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8C474C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(CT) el Proponente o integrante nacional y extranjero con o sin Sucursal en Colombia deben diligenciar el Formato 5 – Capacidad residual.</w:t>
      </w:r>
    </w:p>
    <w:p w14:paraId="03C03C1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CEE97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del factor (CT) se asigna con base en la siguiente tabla:</w:t>
      </w:r>
    </w:p>
    <w:p w14:paraId="1CDF7EA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3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354"/>
        <w:gridCol w:w="1623"/>
      </w:tblGrid>
      <w:tr w:rsidR="00E12C5A" w:rsidRPr="00283E81" w14:paraId="1CD2F723" w14:textId="77777777" w:rsidTr="00693577">
        <w:trPr>
          <w:trHeight w:val="57"/>
          <w:tblHeader/>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509BEC1"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FFFFFF"/>
                <w:sz w:val="22"/>
                <w:szCs w:val="22"/>
              </w:rPr>
              <w:t>Desde</w:t>
            </w:r>
          </w:p>
        </w:tc>
        <w:tc>
          <w:tcPr>
            <w:tcW w:w="135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1E7D668"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Hasta</w:t>
            </w:r>
          </w:p>
        </w:tc>
        <w:tc>
          <w:tcPr>
            <w:tcW w:w="162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56191F4F"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Puntaje</w:t>
            </w:r>
          </w:p>
        </w:tc>
      </w:tr>
      <w:tr w:rsidR="00E12C5A" w:rsidRPr="00283E81" w14:paraId="6CF20A12"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645FC09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w:t>
            </w:r>
          </w:p>
        </w:tc>
        <w:tc>
          <w:tcPr>
            <w:tcW w:w="1354" w:type="dxa"/>
            <w:tcBorders>
              <w:top w:val="single" w:sz="4" w:space="0" w:color="000000"/>
              <w:left w:val="single" w:sz="4" w:space="0" w:color="000000"/>
              <w:bottom w:val="single" w:sz="4" w:space="0" w:color="000000"/>
              <w:right w:val="single" w:sz="4" w:space="0" w:color="000000"/>
            </w:tcBorders>
            <w:vAlign w:val="center"/>
          </w:tcPr>
          <w:p w14:paraId="486C80F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5</w:t>
            </w:r>
          </w:p>
        </w:tc>
        <w:tc>
          <w:tcPr>
            <w:tcW w:w="1623" w:type="dxa"/>
            <w:tcBorders>
              <w:top w:val="single" w:sz="4" w:space="0" w:color="000000"/>
              <w:left w:val="single" w:sz="4" w:space="0" w:color="000000"/>
              <w:bottom w:val="single" w:sz="4" w:space="0" w:color="000000"/>
              <w:right w:val="single" w:sz="4" w:space="0" w:color="000000"/>
            </w:tcBorders>
            <w:vAlign w:val="center"/>
          </w:tcPr>
          <w:p w14:paraId="059CD70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w:t>
            </w:r>
          </w:p>
        </w:tc>
      </w:tr>
      <w:tr w:rsidR="00E12C5A" w:rsidRPr="00283E81" w14:paraId="5B244870"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1C794F4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1354" w:type="dxa"/>
            <w:tcBorders>
              <w:top w:val="single" w:sz="4" w:space="0" w:color="000000"/>
              <w:left w:val="single" w:sz="4" w:space="0" w:color="000000"/>
              <w:bottom w:val="single" w:sz="4" w:space="0" w:color="000000"/>
              <w:right w:val="single" w:sz="4" w:space="0" w:color="000000"/>
            </w:tcBorders>
            <w:vAlign w:val="center"/>
          </w:tcPr>
          <w:p w14:paraId="74E2F84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1623" w:type="dxa"/>
            <w:tcBorders>
              <w:top w:val="single" w:sz="4" w:space="0" w:color="000000"/>
              <w:left w:val="single" w:sz="4" w:space="0" w:color="000000"/>
              <w:bottom w:val="single" w:sz="4" w:space="0" w:color="000000"/>
              <w:right w:val="single" w:sz="4" w:space="0" w:color="000000"/>
            </w:tcBorders>
            <w:vAlign w:val="center"/>
          </w:tcPr>
          <w:p w14:paraId="425BE9C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30</w:t>
            </w:r>
          </w:p>
        </w:tc>
      </w:tr>
      <w:tr w:rsidR="00E12C5A" w:rsidRPr="00283E81" w14:paraId="09FDA2A8"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19FBE60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11</w:t>
            </w:r>
          </w:p>
        </w:tc>
        <w:tc>
          <w:tcPr>
            <w:tcW w:w="1354" w:type="dxa"/>
            <w:tcBorders>
              <w:top w:val="single" w:sz="4" w:space="0" w:color="000000"/>
              <w:left w:val="single" w:sz="4" w:space="0" w:color="000000"/>
              <w:bottom w:val="single" w:sz="4" w:space="0" w:color="000000"/>
              <w:right w:val="single" w:sz="4" w:space="0" w:color="000000"/>
            </w:tcBorders>
            <w:vAlign w:val="center"/>
          </w:tcPr>
          <w:p w14:paraId="6FB45F40"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623" w:type="dxa"/>
            <w:tcBorders>
              <w:top w:val="single" w:sz="4" w:space="0" w:color="000000"/>
              <w:left w:val="single" w:sz="4" w:space="0" w:color="000000"/>
              <w:bottom w:val="single" w:sz="4" w:space="0" w:color="000000"/>
              <w:right w:val="single" w:sz="4" w:space="0" w:color="000000"/>
            </w:tcBorders>
            <w:vAlign w:val="center"/>
          </w:tcPr>
          <w:p w14:paraId="75B709B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bl>
    <w:p w14:paraId="6255B868"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E9A2B00" w14:textId="77777777" w:rsidR="00693577" w:rsidRPr="00283E81" w:rsidRDefault="00693577" w:rsidP="00E12C5A">
      <w:pPr>
        <w:widowControl/>
        <w:pBdr>
          <w:top w:val="nil"/>
          <w:left w:val="nil"/>
          <w:bottom w:val="nil"/>
          <w:right w:val="nil"/>
          <w:between w:val="nil"/>
        </w:pBdr>
        <w:ind w:left="284" w:right="116"/>
        <w:jc w:val="both"/>
        <w:rPr>
          <w:rFonts w:ascii="Garamond" w:hAnsi="Garamond"/>
          <w:b/>
          <w:color w:val="000000"/>
          <w:sz w:val="22"/>
          <w:szCs w:val="22"/>
        </w:rPr>
      </w:pPr>
    </w:p>
    <w:p w14:paraId="0D906286"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Saldos Contratos en Ejecución (SCE):</w:t>
      </w:r>
    </w:p>
    <w:p w14:paraId="7720620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305CAA7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debe presentar el Formato 5 – Capacidad residual suscrito por su representante legal y su revisor fiscal si el Proponente está obligado a tenerlo, o por el contador o su auditor independiente el cual contenga la lista de los contratos en ejecución tanto a nivel nacional como internacional indicando: i) el valor del Contrato;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el plazo del Contrato en meses;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la fecha de inicio de las obras del Contrato, día, mes, año; </w:t>
      </w:r>
      <w:proofErr w:type="spellStart"/>
      <w:r w:rsidRPr="00283E81">
        <w:rPr>
          <w:rFonts w:ascii="Garamond" w:hAnsi="Garamond"/>
          <w:color w:val="000000"/>
          <w:sz w:val="22"/>
          <w:szCs w:val="22"/>
        </w:rPr>
        <w:t>iv</w:t>
      </w:r>
      <w:proofErr w:type="spellEnd"/>
      <w:r w:rsidRPr="00283E81">
        <w:rPr>
          <w:rFonts w:ascii="Garamond" w:hAnsi="Garamond"/>
          <w:color w:val="000000"/>
          <w:sz w:val="22"/>
          <w:szCs w:val="22"/>
        </w:rPr>
        <w:t xml:space="preserve">) si la obra la ejecuta un Consorcio o Unión Temporal junto con el porcentaje de participación del integrante que presenta el certificado, y v) si el Contrato se encuentra suspendido, de ser así, la fecha de suspensión. En el certificado debe constar expresamente si el Proponente tiene o no contratos en ejecución. </w:t>
      </w:r>
    </w:p>
    <w:p w14:paraId="6E0452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Para acreditar el factor (SCE) el Proponente tendrá en cuenta lo siguiente: </w:t>
      </w:r>
    </w:p>
    <w:p w14:paraId="36DDC5F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500DAC3" w14:textId="77777777" w:rsidR="00E12C5A" w:rsidRPr="00283E81" w:rsidRDefault="00E12C5A" w:rsidP="003400E2">
      <w:pPr>
        <w:widowControl/>
        <w:numPr>
          <w:ilvl w:val="0"/>
          <w:numId w:val="7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factor SCE es la suma de los montos por ejecutar de los contratos vigentes durante los 12 meses siguientes. Si el número de días por ejecutar en un contrato es superior a 12 meses, es decir 360 días, el factor (SCE) solo tendrá en cuenta la proporción lineal de 12 meses.</w:t>
      </w:r>
    </w:p>
    <w:p w14:paraId="3CD56DF7" w14:textId="77777777" w:rsidR="00E12C5A" w:rsidRPr="00283E81" w:rsidRDefault="00E12C5A" w:rsidP="003400E2">
      <w:pPr>
        <w:widowControl/>
        <w:numPr>
          <w:ilvl w:val="0"/>
          <w:numId w:val="7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Los Contratos de obras civiles en ejecución son aquellos que a la fecha de presentación de la oferta obligan al Proponente con Entidades Estatales o privadas para realizar obras civiles. Estas incluyen las obras civiles de los Contratos de concesión y los Contratos de obra suscritos con concesionarios, así como los contratos suspendidos y aquellos que no tengan acta de inicio. No se entenderán como contratos en ejecución los que se encuentren en liquidación.</w:t>
      </w:r>
    </w:p>
    <w:p w14:paraId="62E871C6"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 xml:space="preserve">Se tendrán en cuenta los contratos de obras civiles en ejecución suscritos por el Proponente o por sociedades, Consorcios o Uniones Temporales en los cuales el Proponente tenga participación. </w:t>
      </w:r>
    </w:p>
    <w:p w14:paraId="0A6198FE"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Si un Contrato se encuentra suspendido, el cálculo del (SCE) de dicho Contrato debe efectuarse asumiendo que lo que falta por ejecutar iniciará en la fecha de presentación de la oferta del Proceso de Contratación. Si el Contrato está suspendido el Proponente debe informar el saldo pendiente por ejecutar.</w:t>
      </w:r>
    </w:p>
    <w:p w14:paraId="5D36F681"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El cálculo del factor (SCE)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la respectiva estructura.</w:t>
      </w:r>
    </w:p>
    <w:p w14:paraId="209B8F7A"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lastRenderedPageBreak/>
        <w:t xml:space="preserve"> </w:t>
      </w:r>
    </w:p>
    <w:p w14:paraId="0ADC0248"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Para los Proponentes o integrantes extranjeros sin domicilio o Sucursal en Colombia deben diligenciar el Formato 5 – Capacidad residual firmado por la persona natural o el representante legal de la persona jurídica y el contador público colombiano que los hubiere.</w:t>
      </w:r>
    </w:p>
    <w:p w14:paraId="3F1E1793" w14:textId="77777777" w:rsidR="00A7322A" w:rsidRPr="00283E81" w:rsidRDefault="00A7322A" w:rsidP="00E12C5A">
      <w:pPr>
        <w:widowControl/>
        <w:ind w:left="284" w:right="116"/>
        <w:jc w:val="both"/>
        <w:rPr>
          <w:rFonts w:ascii="Garamond" w:hAnsi="Garamond"/>
          <w:sz w:val="22"/>
          <w:szCs w:val="22"/>
        </w:rPr>
      </w:pPr>
    </w:p>
    <w:p w14:paraId="108F818C" w14:textId="00868988" w:rsidR="00A7322A" w:rsidRPr="00283E81" w:rsidRDefault="00AA16E1" w:rsidP="00E12C5A">
      <w:pPr>
        <w:widowControl/>
        <w:ind w:left="284" w:right="116"/>
        <w:jc w:val="both"/>
        <w:rPr>
          <w:rFonts w:ascii="Garamond" w:hAnsi="Garamond"/>
          <w:sz w:val="22"/>
          <w:szCs w:val="22"/>
        </w:rPr>
      </w:pPr>
      <w:r w:rsidRPr="00283E81">
        <w:rPr>
          <w:rFonts w:ascii="Garamond" w:hAnsi="Garamond"/>
          <w:sz w:val="22"/>
          <w:szCs w:val="22"/>
        </w:rPr>
        <w:t>De la matriz 2 se relacionan los índices de la siguiente manera:</w:t>
      </w:r>
    </w:p>
    <w:p w14:paraId="2805044A" w14:textId="77777777" w:rsidR="00A7322A" w:rsidRPr="00283E81" w:rsidRDefault="00A7322A" w:rsidP="00E12C5A">
      <w:pPr>
        <w:widowControl/>
        <w:ind w:left="284" w:right="116"/>
        <w:jc w:val="both"/>
        <w:rPr>
          <w:rFonts w:ascii="Garamond" w:hAnsi="Garamond"/>
          <w:sz w:val="22"/>
          <w:szCs w:val="22"/>
        </w:rPr>
      </w:pPr>
    </w:p>
    <w:p w14:paraId="3B5234B5" w14:textId="150C7B00" w:rsidR="00AA16E1" w:rsidRPr="00283E81" w:rsidRDefault="00AA16E1" w:rsidP="00AA16E1">
      <w:pPr>
        <w:pStyle w:val="Prrafodelista"/>
        <w:spacing w:after="0"/>
        <w:ind w:left="284"/>
        <w:rPr>
          <w:rFonts w:ascii="Garamond" w:hAnsi="Garamond" w:cs="Arial"/>
          <w:i/>
          <w:iCs/>
          <w:lang w:val="es-419"/>
        </w:rPr>
      </w:pPr>
      <w:r w:rsidRPr="00283E81">
        <w:rPr>
          <w:rFonts w:ascii="Garamond" w:hAnsi="Garamond" w:cs="Arial"/>
          <w:i/>
          <w:iCs/>
          <w:lang w:val="es-419"/>
        </w:rPr>
        <w:t>Índices de capacidad financiera y organizacionales para MiPymes.</w:t>
      </w:r>
    </w:p>
    <w:p w14:paraId="5BBCCFF4" w14:textId="77777777" w:rsidR="00AA16E1" w:rsidRPr="00283E81" w:rsidRDefault="00AA16E1" w:rsidP="00AA16E1">
      <w:pPr>
        <w:jc w:val="both"/>
        <w:rPr>
          <w:rFonts w:ascii="Garamond" w:hAnsi="Garamond" w:cs="Arial"/>
          <w:sz w:val="22"/>
          <w:szCs w:val="22"/>
          <w:lang w:val="es-419"/>
        </w:rPr>
      </w:pPr>
    </w:p>
    <w:p w14:paraId="7582B96D" w14:textId="77777777" w:rsidR="00AA16E1" w:rsidRPr="00283E81" w:rsidRDefault="00AA16E1" w:rsidP="00AA16E1">
      <w:pPr>
        <w:jc w:val="both"/>
        <w:rPr>
          <w:rFonts w:ascii="Garamond" w:hAnsi="Garamond" w:cs="Arial"/>
          <w:sz w:val="22"/>
          <w:szCs w:val="22"/>
          <w:lang w:val="es-419"/>
        </w:rPr>
      </w:pPr>
      <w:r w:rsidRPr="00283E81">
        <w:rPr>
          <w:rFonts w:ascii="Garamond" w:hAnsi="Garamond" w:cs="Arial"/>
          <w:sz w:val="22"/>
          <w:szCs w:val="22"/>
          <w:lang w:val="es-419"/>
        </w:rPr>
        <w:t>El Proponente persona natural o jurídica que demuestre la condición de Mipyme de conformidad con lo previsto en el artículo 2.2.1.2.4.2.4. del Decreto 1082 de 2015,</w:t>
      </w:r>
      <w:r w:rsidRPr="00283E81">
        <w:rPr>
          <w:rFonts w:ascii="Garamond" w:hAnsi="Garamond" w:cs="Arial"/>
          <w:iCs/>
          <w:sz w:val="22"/>
          <w:szCs w:val="22"/>
          <w:lang w:val="es-ES"/>
        </w:rPr>
        <w:t xml:space="preserve"> en concordancia con el parágrafo del artículo 2.2.1.13.2.4 del Decreto 1074 de 2015</w:t>
      </w:r>
      <w:r w:rsidRPr="00283E81">
        <w:rPr>
          <w:rFonts w:ascii="Garamond" w:hAnsi="Garamond" w:cs="Arial"/>
          <w:sz w:val="22"/>
          <w:szCs w:val="22"/>
          <w:lang w:val="es-419"/>
        </w:rPr>
        <w:t xml:space="preserve"> o las normas que los modifiquen, sustituyan o complementen, probará los siguientes indicadores:</w:t>
      </w:r>
    </w:p>
    <w:p w14:paraId="3310791E" w14:textId="77777777" w:rsidR="00AA16E1" w:rsidRPr="00283E81" w:rsidRDefault="00AA16E1" w:rsidP="00AA16E1">
      <w:pPr>
        <w:ind w:left="720"/>
        <w:contextualSpacing/>
        <w:rPr>
          <w:rFonts w:ascii="Garamond" w:hAnsi="Garamond" w:cs="Arial"/>
          <w:bCs/>
          <w:sz w:val="22"/>
          <w:szCs w:val="22"/>
          <w:lang w:val="es-419"/>
        </w:rPr>
      </w:pPr>
    </w:p>
    <w:tbl>
      <w:tblPr>
        <w:tblStyle w:val="Tablaconcuadrcula1"/>
        <w:tblW w:w="0" w:type="auto"/>
        <w:jc w:val="center"/>
        <w:tblLook w:val="04A0" w:firstRow="1" w:lastRow="0" w:firstColumn="1" w:lastColumn="0" w:noHBand="0" w:noVBand="1"/>
      </w:tblPr>
      <w:tblGrid>
        <w:gridCol w:w="2689"/>
        <w:gridCol w:w="2268"/>
      </w:tblGrid>
      <w:tr w:rsidR="00AA16E1" w:rsidRPr="00283E81" w14:paraId="28D393A5" w14:textId="77777777" w:rsidTr="00A9266F">
        <w:trPr>
          <w:trHeight w:val="20"/>
          <w:jc w:val="center"/>
        </w:trPr>
        <w:tc>
          <w:tcPr>
            <w:tcW w:w="2689" w:type="dxa"/>
            <w:shd w:val="clear" w:color="auto" w:fill="E5B8B7" w:themeFill="accent2" w:themeFillTint="66"/>
            <w:vAlign w:val="center"/>
          </w:tcPr>
          <w:p w14:paraId="1A034ABE" w14:textId="77777777" w:rsidR="00AA16E1" w:rsidRPr="00283E81" w:rsidRDefault="00AA16E1" w:rsidP="00A9266F">
            <w:pPr>
              <w:ind w:left="174" w:hanging="174"/>
              <w:jc w:val="center"/>
              <w:rPr>
                <w:rFonts w:cs="Arial"/>
                <w:b/>
                <w:sz w:val="22"/>
                <w:szCs w:val="22"/>
              </w:rPr>
            </w:pPr>
            <w:r w:rsidRPr="00283E81">
              <w:rPr>
                <w:rFonts w:cs="Arial"/>
                <w:b/>
                <w:sz w:val="22"/>
                <w:szCs w:val="22"/>
              </w:rPr>
              <w:t>Indicador</w:t>
            </w:r>
          </w:p>
        </w:tc>
        <w:tc>
          <w:tcPr>
            <w:tcW w:w="2268" w:type="dxa"/>
            <w:shd w:val="clear" w:color="auto" w:fill="E5B8B7" w:themeFill="accent2" w:themeFillTint="66"/>
            <w:vAlign w:val="center"/>
          </w:tcPr>
          <w:p w14:paraId="0B572282" w14:textId="77777777" w:rsidR="00AA16E1" w:rsidRPr="00283E81" w:rsidRDefault="00AA16E1" w:rsidP="00A9266F">
            <w:pPr>
              <w:ind w:left="174" w:hanging="174"/>
              <w:jc w:val="center"/>
              <w:rPr>
                <w:rFonts w:cs="Arial"/>
                <w:b/>
                <w:sz w:val="22"/>
                <w:szCs w:val="22"/>
              </w:rPr>
            </w:pPr>
            <w:r w:rsidRPr="00283E81">
              <w:rPr>
                <w:rFonts w:cs="Arial"/>
                <w:b/>
                <w:sz w:val="22"/>
                <w:szCs w:val="22"/>
              </w:rPr>
              <w:t>Valor concertado</w:t>
            </w:r>
          </w:p>
        </w:tc>
      </w:tr>
      <w:tr w:rsidR="00AA16E1" w:rsidRPr="00283E81" w14:paraId="6A459BBA" w14:textId="77777777" w:rsidTr="00AA16E1">
        <w:trPr>
          <w:trHeight w:val="473"/>
          <w:jc w:val="center"/>
        </w:trPr>
        <w:tc>
          <w:tcPr>
            <w:tcW w:w="2689" w:type="dxa"/>
            <w:vAlign w:val="center"/>
          </w:tcPr>
          <w:p w14:paraId="764C2A3C" w14:textId="77777777" w:rsidR="00AA16E1" w:rsidRPr="00283E81" w:rsidRDefault="00AA16E1" w:rsidP="00A9266F">
            <w:pPr>
              <w:jc w:val="center"/>
              <w:rPr>
                <w:rFonts w:cstheme="minorHAnsi"/>
                <w:sz w:val="22"/>
                <w:szCs w:val="22"/>
              </w:rPr>
            </w:pPr>
            <w:r w:rsidRPr="00283E81">
              <w:rPr>
                <w:rFonts w:cstheme="minorHAnsi"/>
                <w:sz w:val="22"/>
                <w:szCs w:val="22"/>
              </w:rPr>
              <w:t>Índice de liquidez</w:t>
            </w:r>
          </w:p>
        </w:tc>
        <w:tc>
          <w:tcPr>
            <w:tcW w:w="2268" w:type="dxa"/>
            <w:vAlign w:val="center"/>
          </w:tcPr>
          <w:p w14:paraId="294229AD" w14:textId="611AE6B6" w:rsidR="00AA16E1" w:rsidRPr="00283E81" w:rsidRDefault="00AA16E1" w:rsidP="00AA16E1">
            <w:pPr>
              <w:spacing w:before="240"/>
              <w:jc w:val="center"/>
              <w:rPr>
                <w:rFonts w:cs="Arial"/>
                <w:bCs/>
                <w:sz w:val="22"/>
                <w:szCs w:val="22"/>
              </w:rPr>
            </w:pPr>
            <m:oMath>
              <m:r>
                <m:rPr>
                  <m:sty m:val="p"/>
                </m:rPr>
                <w:rPr>
                  <w:rFonts w:ascii="Cambria Math" w:hAnsi="Cambria Math" w:cs="Arial"/>
                  <w:sz w:val="22"/>
                  <w:szCs w:val="22"/>
                </w:rPr>
                <m:t>≥</m:t>
              </m:r>
            </m:oMath>
            <w:r w:rsidRPr="00283E81">
              <w:rPr>
                <w:rFonts w:cs="Arial"/>
                <w:bCs/>
                <w:sz w:val="22"/>
                <w:szCs w:val="22"/>
              </w:rPr>
              <w:t>1,1</w:t>
            </w:r>
          </w:p>
        </w:tc>
      </w:tr>
      <w:tr w:rsidR="00AA16E1" w:rsidRPr="00283E81" w14:paraId="2092556D" w14:textId="77777777" w:rsidTr="00A9266F">
        <w:trPr>
          <w:trHeight w:val="20"/>
          <w:jc w:val="center"/>
        </w:trPr>
        <w:tc>
          <w:tcPr>
            <w:tcW w:w="2689" w:type="dxa"/>
            <w:vAlign w:val="center"/>
          </w:tcPr>
          <w:p w14:paraId="7E032F59" w14:textId="77777777" w:rsidR="00AA16E1" w:rsidRPr="00283E81" w:rsidRDefault="00AA16E1" w:rsidP="00A9266F">
            <w:pPr>
              <w:jc w:val="center"/>
              <w:rPr>
                <w:rFonts w:cstheme="minorHAnsi"/>
                <w:sz w:val="22"/>
                <w:szCs w:val="22"/>
              </w:rPr>
            </w:pPr>
            <w:r w:rsidRPr="00283E81">
              <w:rPr>
                <w:rFonts w:cstheme="minorHAnsi"/>
                <w:sz w:val="22"/>
                <w:szCs w:val="22"/>
              </w:rPr>
              <w:t>Índice de endeudamiento</w:t>
            </w:r>
          </w:p>
        </w:tc>
        <w:tc>
          <w:tcPr>
            <w:tcW w:w="2268" w:type="dxa"/>
            <w:vAlign w:val="center"/>
          </w:tcPr>
          <w:p w14:paraId="5B3C5AD9" w14:textId="77777777" w:rsidR="00AA16E1" w:rsidRPr="00283E81" w:rsidRDefault="00AA16E1" w:rsidP="00A9266F">
            <w:pPr>
              <w:jc w:val="center"/>
              <w:rPr>
                <w:rFonts w:eastAsiaTheme="minorEastAsia" w:cstheme="minorHAnsi"/>
                <w:bCs/>
                <w:sz w:val="22"/>
                <w:szCs w:val="22"/>
              </w:rPr>
            </w:pPr>
          </w:p>
          <w:p w14:paraId="0E7E5BBF" w14:textId="6011C003" w:rsidR="00AA16E1" w:rsidRPr="00283E81" w:rsidRDefault="00AA16E1" w:rsidP="00AA16E1">
            <w:pPr>
              <w:jc w:val="center"/>
              <w:rPr>
                <w:rFonts w:cstheme="minorHAnsi"/>
                <w:bCs/>
                <w:sz w:val="22"/>
                <w:szCs w:val="22"/>
              </w:rPr>
            </w:pPr>
            <m:oMathPara>
              <m:oMath>
                <m:r>
                  <m:rPr>
                    <m:sty m:val="p"/>
                  </m:rPr>
                  <w:rPr>
                    <w:rFonts w:ascii="Cambria Math" w:hAnsi="Cambria Math" w:cstheme="minorHAnsi"/>
                    <w:sz w:val="22"/>
                    <w:szCs w:val="22"/>
                  </w:rPr>
                  <m:t>≤ 0,70</m:t>
                </m:r>
              </m:oMath>
            </m:oMathPara>
          </w:p>
        </w:tc>
      </w:tr>
      <w:tr w:rsidR="00AA16E1" w:rsidRPr="00283E81" w14:paraId="6DFE8D2F" w14:textId="77777777" w:rsidTr="00A9266F">
        <w:trPr>
          <w:trHeight w:val="20"/>
          <w:jc w:val="center"/>
        </w:trPr>
        <w:tc>
          <w:tcPr>
            <w:tcW w:w="2689" w:type="dxa"/>
            <w:vAlign w:val="center"/>
          </w:tcPr>
          <w:p w14:paraId="4E3DE28B" w14:textId="77777777" w:rsidR="00AA16E1" w:rsidRPr="00283E81" w:rsidRDefault="00AA16E1" w:rsidP="00A9266F">
            <w:pPr>
              <w:jc w:val="center"/>
              <w:rPr>
                <w:rFonts w:cstheme="minorHAnsi"/>
                <w:sz w:val="22"/>
                <w:szCs w:val="22"/>
              </w:rPr>
            </w:pPr>
            <w:r w:rsidRPr="00283E81">
              <w:rPr>
                <w:rFonts w:cstheme="minorHAnsi"/>
                <w:sz w:val="22"/>
                <w:szCs w:val="22"/>
              </w:rPr>
              <w:t>Razón de cobertura de intereses</w:t>
            </w:r>
          </w:p>
        </w:tc>
        <w:tc>
          <w:tcPr>
            <w:tcW w:w="2268" w:type="dxa"/>
            <w:vAlign w:val="center"/>
          </w:tcPr>
          <w:p w14:paraId="3728CB42" w14:textId="77777777" w:rsidR="00AA16E1" w:rsidRPr="00283E81" w:rsidRDefault="00AA16E1" w:rsidP="00A9266F">
            <w:pPr>
              <w:jc w:val="center"/>
              <w:rPr>
                <w:rFonts w:eastAsiaTheme="minorEastAsia" w:cstheme="minorHAnsi"/>
                <w:bCs/>
                <w:sz w:val="22"/>
                <w:szCs w:val="22"/>
              </w:rPr>
            </w:pPr>
          </w:p>
          <w:p w14:paraId="33A57822" w14:textId="24002283" w:rsidR="00AA16E1" w:rsidRPr="00283E81" w:rsidRDefault="00AA16E1" w:rsidP="00AA16E1">
            <w:pPr>
              <w:jc w:val="center"/>
              <w:rPr>
                <w:rFonts w:eastAsiaTheme="minorEastAsia" w:cstheme="minorHAnsi"/>
                <w:bCs/>
                <w:sz w:val="22"/>
                <w:szCs w:val="22"/>
              </w:rPr>
            </w:pPr>
            <m:oMathPara>
              <m:oMath>
                <m:r>
                  <m:rPr>
                    <m:sty m:val="p"/>
                  </m:rPr>
                  <w:rPr>
                    <w:rFonts w:ascii="Cambria Math" w:hAnsi="Cambria Math" w:cstheme="minorHAnsi"/>
                    <w:sz w:val="22"/>
                    <w:szCs w:val="22"/>
                  </w:rPr>
                  <m:t>≥1</m:t>
                </m:r>
              </m:oMath>
            </m:oMathPara>
          </w:p>
        </w:tc>
      </w:tr>
      <w:tr w:rsidR="00AA16E1" w:rsidRPr="00283E81" w14:paraId="59EB0BF2" w14:textId="77777777" w:rsidTr="00A9266F">
        <w:trPr>
          <w:trHeight w:val="20"/>
          <w:jc w:val="center"/>
        </w:trPr>
        <w:tc>
          <w:tcPr>
            <w:tcW w:w="2689" w:type="dxa"/>
            <w:vAlign w:val="center"/>
          </w:tcPr>
          <w:p w14:paraId="6944C61F" w14:textId="77777777" w:rsidR="00AA16E1" w:rsidRPr="00283E81" w:rsidRDefault="00AA16E1" w:rsidP="00A9266F">
            <w:pPr>
              <w:jc w:val="center"/>
              <w:rPr>
                <w:rFonts w:cstheme="minorHAnsi"/>
                <w:sz w:val="22"/>
                <w:szCs w:val="22"/>
              </w:rPr>
            </w:pPr>
            <w:r w:rsidRPr="00283E81">
              <w:rPr>
                <w:rFonts w:cstheme="minorHAnsi"/>
                <w:sz w:val="22"/>
                <w:szCs w:val="22"/>
              </w:rPr>
              <w:t>Capital de trabajo</w:t>
            </w:r>
          </w:p>
        </w:tc>
        <w:tc>
          <w:tcPr>
            <w:tcW w:w="2268" w:type="dxa"/>
            <w:vAlign w:val="center"/>
          </w:tcPr>
          <w:p w14:paraId="0E717E6A" w14:textId="77777777" w:rsidR="00AA16E1" w:rsidRPr="00283E81" w:rsidRDefault="00AA16E1" w:rsidP="00A9266F">
            <w:pPr>
              <w:jc w:val="center"/>
              <w:rPr>
                <w:rFonts w:cstheme="minorHAnsi"/>
                <w:bCs/>
                <w:sz w:val="22"/>
                <w:szCs w:val="22"/>
              </w:rPr>
            </w:pPr>
          </w:p>
          <w:p w14:paraId="330B523E" w14:textId="77777777" w:rsidR="00AA16E1" w:rsidRPr="00283E81" w:rsidRDefault="00AA16E1" w:rsidP="00A9266F">
            <w:pPr>
              <w:jc w:val="center"/>
              <w:rPr>
                <w:rFonts w:cstheme="minorHAnsi"/>
                <w:bCs/>
                <w:sz w:val="22"/>
                <w:szCs w:val="22"/>
              </w:rPr>
            </w:pPr>
            <w:r w:rsidRPr="00283E81">
              <w:rPr>
                <w:rFonts w:cstheme="minorHAnsi"/>
                <w:bCs/>
                <w:sz w:val="22"/>
                <w:szCs w:val="22"/>
              </w:rPr>
              <w:t>Definido en los Pliegos Tipo</w:t>
            </w:r>
          </w:p>
          <w:p w14:paraId="545EF508" w14:textId="77777777" w:rsidR="00AA16E1" w:rsidRPr="00283E81" w:rsidRDefault="00AA16E1" w:rsidP="00A9266F">
            <w:pPr>
              <w:jc w:val="center"/>
              <w:rPr>
                <w:rFonts w:cstheme="minorHAnsi"/>
                <w:bCs/>
                <w:sz w:val="22"/>
                <w:szCs w:val="22"/>
              </w:rPr>
            </w:pPr>
          </w:p>
        </w:tc>
      </w:tr>
      <w:tr w:rsidR="00AA16E1" w:rsidRPr="00283E81" w14:paraId="3D3B8C57" w14:textId="77777777" w:rsidTr="00A9266F">
        <w:trPr>
          <w:trHeight w:val="20"/>
          <w:jc w:val="center"/>
        </w:trPr>
        <w:tc>
          <w:tcPr>
            <w:tcW w:w="2689" w:type="dxa"/>
            <w:vAlign w:val="center"/>
          </w:tcPr>
          <w:p w14:paraId="29362D2A" w14:textId="77777777" w:rsidR="00AA16E1" w:rsidRPr="00283E81" w:rsidRDefault="00AA16E1" w:rsidP="00A9266F">
            <w:pPr>
              <w:jc w:val="center"/>
              <w:rPr>
                <w:rFonts w:cstheme="minorHAnsi"/>
                <w:sz w:val="22"/>
                <w:szCs w:val="22"/>
              </w:rPr>
            </w:pPr>
          </w:p>
          <w:p w14:paraId="1E6F6D77" w14:textId="77777777" w:rsidR="00AA16E1" w:rsidRPr="00283E81" w:rsidRDefault="00AA16E1" w:rsidP="00A9266F">
            <w:pPr>
              <w:jc w:val="center"/>
              <w:rPr>
                <w:rFonts w:cstheme="minorHAnsi"/>
                <w:sz w:val="22"/>
                <w:szCs w:val="22"/>
              </w:rPr>
            </w:pPr>
            <w:r w:rsidRPr="00283E81">
              <w:rPr>
                <w:rFonts w:cstheme="minorHAnsi"/>
                <w:sz w:val="22"/>
                <w:szCs w:val="22"/>
              </w:rPr>
              <w:t>Rentabilidad del patrimonio</w:t>
            </w:r>
          </w:p>
        </w:tc>
        <w:tc>
          <w:tcPr>
            <w:tcW w:w="2268" w:type="dxa"/>
            <w:vAlign w:val="center"/>
          </w:tcPr>
          <w:p w14:paraId="33C73377" w14:textId="77777777" w:rsidR="00AA16E1" w:rsidRPr="00283E81" w:rsidRDefault="00AA16E1" w:rsidP="00A9266F">
            <w:pPr>
              <w:jc w:val="center"/>
              <w:rPr>
                <w:rFonts w:eastAsiaTheme="minorEastAsia" w:cstheme="minorHAnsi"/>
                <w:bCs/>
                <w:sz w:val="22"/>
                <w:szCs w:val="22"/>
              </w:rPr>
            </w:pPr>
          </w:p>
          <w:p w14:paraId="7C0E2FC6" w14:textId="77777777" w:rsidR="00AA16E1" w:rsidRPr="00283E81" w:rsidRDefault="00AA16E1" w:rsidP="00A9266F">
            <w:pPr>
              <w:jc w:val="center"/>
              <w:rPr>
                <w:rFonts w:eastAsiaTheme="minorEastAsia" w:cs="Arial"/>
                <w:bCs/>
                <w:sz w:val="22"/>
                <w:szCs w:val="22"/>
              </w:rPr>
            </w:pPr>
            <m:oMathPara>
              <m:oMath>
                <m:r>
                  <m:rPr>
                    <m:sty m:val="p"/>
                  </m:rPr>
                  <w:rPr>
                    <w:rFonts w:ascii="Cambria Math" w:hAnsi="Cambria Math" w:cs="Arial"/>
                    <w:sz w:val="22"/>
                    <w:szCs w:val="22"/>
                  </w:rPr>
                  <m:t>≥0,02</m:t>
                </m:r>
              </m:oMath>
            </m:oMathPara>
          </w:p>
          <w:p w14:paraId="474BAD13" w14:textId="77777777" w:rsidR="00AA16E1" w:rsidRPr="00283E81" w:rsidRDefault="00AA16E1" w:rsidP="00A9266F">
            <w:pPr>
              <w:jc w:val="center"/>
              <w:rPr>
                <w:rFonts w:cstheme="minorHAnsi"/>
                <w:bCs/>
                <w:sz w:val="22"/>
                <w:szCs w:val="22"/>
              </w:rPr>
            </w:pPr>
          </w:p>
        </w:tc>
      </w:tr>
      <w:tr w:rsidR="00AA16E1" w:rsidRPr="00283E81" w14:paraId="628A0F2F" w14:textId="77777777" w:rsidTr="00A9266F">
        <w:trPr>
          <w:trHeight w:val="20"/>
          <w:jc w:val="center"/>
        </w:trPr>
        <w:tc>
          <w:tcPr>
            <w:tcW w:w="2689" w:type="dxa"/>
            <w:vAlign w:val="center"/>
          </w:tcPr>
          <w:p w14:paraId="3083C8A9" w14:textId="77777777" w:rsidR="00AA16E1" w:rsidRPr="00283E81" w:rsidRDefault="00AA16E1" w:rsidP="00A9266F">
            <w:pPr>
              <w:jc w:val="center"/>
              <w:rPr>
                <w:rFonts w:cstheme="minorHAnsi"/>
                <w:sz w:val="22"/>
                <w:szCs w:val="22"/>
              </w:rPr>
            </w:pPr>
          </w:p>
          <w:p w14:paraId="4AB5DA2E" w14:textId="77777777" w:rsidR="00AA16E1" w:rsidRPr="00283E81" w:rsidRDefault="00AA16E1" w:rsidP="00A9266F">
            <w:pPr>
              <w:jc w:val="center"/>
              <w:rPr>
                <w:rFonts w:cstheme="minorHAnsi"/>
                <w:sz w:val="22"/>
                <w:szCs w:val="22"/>
              </w:rPr>
            </w:pPr>
            <w:r w:rsidRPr="00283E81">
              <w:rPr>
                <w:rFonts w:cstheme="minorHAnsi"/>
                <w:sz w:val="22"/>
                <w:szCs w:val="22"/>
              </w:rPr>
              <w:t>Rentabilidad del activo</w:t>
            </w:r>
          </w:p>
        </w:tc>
        <w:tc>
          <w:tcPr>
            <w:tcW w:w="2268" w:type="dxa"/>
            <w:vAlign w:val="center"/>
          </w:tcPr>
          <w:p w14:paraId="3D7FE7EF" w14:textId="77777777" w:rsidR="00AA16E1" w:rsidRPr="00283E81" w:rsidRDefault="00AA16E1" w:rsidP="00A9266F">
            <w:pPr>
              <w:jc w:val="center"/>
              <w:rPr>
                <w:rFonts w:eastAsiaTheme="minorEastAsia" w:cstheme="minorHAnsi"/>
                <w:bCs/>
                <w:sz w:val="22"/>
                <w:szCs w:val="22"/>
              </w:rPr>
            </w:pPr>
          </w:p>
          <w:p w14:paraId="6EF191C4" w14:textId="77777777" w:rsidR="00AA16E1" w:rsidRPr="00283E81" w:rsidRDefault="00AA16E1" w:rsidP="00A9266F">
            <w:pPr>
              <w:jc w:val="center"/>
              <w:rPr>
                <w:rFonts w:eastAsiaTheme="minorEastAsia" w:cstheme="minorHAnsi"/>
                <w:bCs/>
                <w:sz w:val="22"/>
                <w:szCs w:val="22"/>
              </w:rPr>
            </w:pPr>
            <m:oMathPara>
              <m:oMath>
                <m:r>
                  <m:rPr>
                    <m:sty m:val="p"/>
                  </m:rPr>
                  <w:rPr>
                    <w:rFonts w:ascii="Cambria Math" w:hAnsi="Cambria Math" w:cstheme="minorHAnsi"/>
                    <w:sz w:val="22"/>
                    <w:szCs w:val="22"/>
                  </w:rPr>
                  <m:t>≥0,01</m:t>
                </m:r>
              </m:oMath>
            </m:oMathPara>
          </w:p>
          <w:p w14:paraId="4471F328" w14:textId="77777777" w:rsidR="00AA16E1" w:rsidRPr="00283E81" w:rsidRDefault="00AA16E1" w:rsidP="00A9266F">
            <w:pPr>
              <w:jc w:val="center"/>
              <w:rPr>
                <w:rFonts w:cstheme="minorHAnsi"/>
                <w:bCs/>
                <w:sz w:val="22"/>
                <w:szCs w:val="22"/>
              </w:rPr>
            </w:pPr>
          </w:p>
        </w:tc>
      </w:tr>
    </w:tbl>
    <w:p w14:paraId="65756D1E" w14:textId="77777777" w:rsidR="00AA16E1" w:rsidRPr="00283E81" w:rsidRDefault="00AA16E1" w:rsidP="00AA16E1">
      <w:pPr>
        <w:ind w:left="720"/>
        <w:contextualSpacing/>
        <w:rPr>
          <w:rFonts w:ascii="Garamond" w:hAnsi="Garamond" w:cstheme="minorHAnsi"/>
          <w:b/>
          <w:sz w:val="22"/>
          <w:szCs w:val="22"/>
          <w:lang w:val="es-419"/>
        </w:rPr>
      </w:pPr>
    </w:p>
    <w:p w14:paraId="64E7F914" w14:textId="77777777" w:rsidR="00AA16E1" w:rsidRPr="00283E81" w:rsidRDefault="00AA16E1" w:rsidP="00AA16E1">
      <w:pPr>
        <w:pStyle w:val="Prrafodelista"/>
        <w:ind w:left="360"/>
        <w:rPr>
          <w:rFonts w:ascii="Garamond" w:hAnsi="Garamond" w:cs="Arial"/>
        </w:rPr>
      </w:pPr>
    </w:p>
    <w:p w14:paraId="324B64A9" w14:textId="77777777" w:rsidR="00AA16E1" w:rsidRPr="00283E81" w:rsidRDefault="00AA16E1" w:rsidP="00AA16E1">
      <w:pPr>
        <w:pStyle w:val="Prrafodelista"/>
        <w:ind w:left="360"/>
        <w:rPr>
          <w:rFonts w:ascii="Garamond" w:hAnsi="Garamond" w:cs="Arial"/>
          <w:lang w:val="es-419"/>
        </w:rPr>
      </w:pPr>
      <w:r w:rsidRPr="00283E81">
        <w:rPr>
          <w:rFonts w:ascii="Garamond" w:hAnsi="Garamond" w:cs="Arial"/>
          <w:lang w:val="es-419"/>
        </w:rPr>
        <w:t>Tratándose de Proponente Plurales estos indicadores solo se aplicarán si por lo menos uno de los integrantes acredita la calidad de Mipyme de conformidad con lo previsto en el artículo 2.2.1.2.4.2.4. del Decreto 1082 de 2015, o la normas que los modifiquen, sustituyan o complementen, y tienen una participación igual o superior al diez por ciento (10 %) en el consorcio o en la unión temporal.</w:t>
      </w:r>
    </w:p>
    <w:p w14:paraId="11616C8E" w14:textId="77777777" w:rsidR="00AA16E1" w:rsidRPr="00283E81" w:rsidRDefault="00AA16E1" w:rsidP="00AA16E1">
      <w:pPr>
        <w:pStyle w:val="Prrafodelista"/>
        <w:ind w:left="360"/>
        <w:rPr>
          <w:rFonts w:ascii="Garamond" w:hAnsi="Garamond" w:cs="Arial"/>
          <w:lang w:val="es-419"/>
        </w:rPr>
      </w:pPr>
    </w:p>
    <w:p w14:paraId="618E5029" w14:textId="77777777" w:rsidR="00AA16E1" w:rsidRPr="00283E81" w:rsidRDefault="00AA16E1" w:rsidP="00AA16E1">
      <w:pPr>
        <w:pStyle w:val="Prrafodelista"/>
        <w:ind w:left="360"/>
        <w:rPr>
          <w:rFonts w:ascii="Garamond" w:hAnsi="Garamond"/>
          <w:lang w:val="es-419"/>
        </w:rPr>
      </w:pPr>
      <w:r w:rsidRPr="00283E81">
        <w:rPr>
          <w:rFonts w:ascii="Garamond" w:hAnsi="Garamond" w:cs="Arial"/>
          <w:lang w:val="es-419"/>
        </w:rPr>
        <w:t>Para acreditar la calidad de Mipyme el Proponente entregará copia del certificado del Registro Único de Proponentes, el cual deberá encontrarse vigente y en firme al momento de su presentación.</w:t>
      </w:r>
    </w:p>
    <w:p w14:paraId="2BA62729" w14:textId="77777777" w:rsidR="00AA16E1" w:rsidRPr="00283E81" w:rsidRDefault="00AA16E1" w:rsidP="00AA16E1">
      <w:pPr>
        <w:pStyle w:val="Prrafodelista"/>
        <w:ind w:left="284"/>
        <w:rPr>
          <w:rFonts w:ascii="Garamond" w:hAnsi="Garamond" w:cs="Arial"/>
          <w:b/>
          <w:lang w:val="es-419"/>
        </w:rPr>
      </w:pPr>
    </w:p>
    <w:p w14:paraId="203929D0" w14:textId="77777777" w:rsidR="00AA16E1" w:rsidRPr="00283E81" w:rsidRDefault="00AA16E1" w:rsidP="00AA16E1">
      <w:pPr>
        <w:pStyle w:val="Prrafodelista"/>
        <w:spacing w:after="0"/>
        <w:ind w:left="284"/>
        <w:rPr>
          <w:rFonts w:ascii="Garamond" w:hAnsi="Garamond" w:cs="Arial"/>
          <w:b/>
          <w:lang w:val="es-419"/>
        </w:rPr>
      </w:pPr>
      <w:r w:rsidRPr="00283E81">
        <w:rPr>
          <w:rFonts w:ascii="Garamond" w:hAnsi="Garamond" w:cs="Arial"/>
          <w:i/>
          <w:iCs/>
          <w:lang w:val="es-419"/>
        </w:rPr>
        <w:t>Índices de capacidad financiera y organizacionales para los demás Proponentes</w:t>
      </w:r>
    </w:p>
    <w:p w14:paraId="4C05C2D7" w14:textId="77777777" w:rsidR="00AA16E1" w:rsidRPr="00283E81" w:rsidRDefault="00AA16E1" w:rsidP="00AA16E1">
      <w:pPr>
        <w:jc w:val="both"/>
        <w:rPr>
          <w:rFonts w:ascii="Garamond" w:hAnsi="Garamond" w:cs="Arial"/>
          <w:b/>
          <w:bCs/>
          <w:sz w:val="22"/>
          <w:szCs w:val="22"/>
          <w:lang w:val="es-419"/>
        </w:rPr>
      </w:pPr>
    </w:p>
    <w:p w14:paraId="14108760" w14:textId="77777777" w:rsidR="00AA16E1" w:rsidRPr="00283E81" w:rsidRDefault="00AA16E1" w:rsidP="00AA16E1">
      <w:pPr>
        <w:pStyle w:val="Prrafodelista"/>
        <w:ind w:left="284"/>
        <w:rPr>
          <w:rFonts w:ascii="Garamond" w:hAnsi="Garamond" w:cs="Arial"/>
          <w:lang w:val="es-419"/>
        </w:rPr>
      </w:pPr>
      <w:r w:rsidRPr="00283E81">
        <w:rPr>
          <w:rFonts w:ascii="Garamond" w:hAnsi="Garamond" w:cs="Arial"/>
          <w:lang w:val="es-419"/>
        </w:rPr>
        <w:t xml:space="preserve">Los Proponentes que </w:t>
      </w:r>
      <w:r w:rsidRPr="00283E81">
        <w:rPr>
          <w:rFonts w:ascii="Garamond" w:hAnsi="Garamond" w:cs="Arial"/>
          <w:b/>
          <w:bCs/>
          <w:u w:val="single"/>
          <w:lang w:val="es-419"/>
        </w:rPr>
        <w:t>NO</w:t>
      </w:r>
      <w:r w:rsidRPr="00283E81">
        <w:rPr>
          <w:rFonts w:ascii="Garamond" w:hAnsi="Garamond" w:cs="Arial"/>
          <w:lang w:val="es-419"/>
        </w:rPr>
        <w:t xml:space="preserve"> demuestren la condición de Mipyme de conformidad con lo en el artículo 2.2.1.2.4.2.4. del Decreto 1082 de 2015,</w:t>
      </w:r>
      <w:r w:rsidRPr="00283E81">
        <w:rPr>
          <w:rFonts w:ascii="Garamond" w:hAnsi="Garamond" w:cs="Arial"/>
          <w:iCs/>
          <w:lang w:val="es-ES"/>
        </w:rPr>
        <w:t xml:space="preserve"> en concordancia con el parágrafo del artículo 2.2.1.13.2.4 del Decreto 1074 de 2015 </w:t>
      </w:r>
      <w:r w:rsidRPr="00283E81">
        <w:rPr>
          <w:rFonts w:ascii="Garamond" w:hAnsi="Garamond" w:cs="Arial"/>
          <w:lang w:val="es-419"/>
        </w:rPr>
        <w:t>o las normas que los modifiquen, sustituyan o complementen, acreditarán los siguientes indicadores:</w:t>
      </w:r>
    </w:p>
    <w:p w14:paraId="59263C79" w14:textId="77777777" w:rsidR="00AA16E1" w:rsidRPr="00283E81" w:rsidRDefault="00AA16E1" w:rsidP="00AA16E1">
      <w:pPr>
        <w:pStyle w:val="Prrafodelista"/>
        <w:ind w:left="284"/>
        <w:rPr>
          <w:rFonts w:ascii="Garamond" w:hAnsi="Garamond" w:cs="Arial"/>
          <w:b/>
          <w:bCs/>
          <w:lang w:val="es-419"/>
        </w:rPr>
      </w:pPr>
    </w:p>
    <w:tbl>
      <w:tblPr>
        <w:tblStyle w:val="Tablaconcuadrcula1"/>
        <w:tblW w:w="0" w:type="auto"/>
        <w:jc w:val="center"/>
        <w:tblLook w:val="04A0" w:firstRow="1" w:lastRow="0" w:firstColumn="1" w:lastColumn="0" w:noHBand="0" w:noVBand="1"/>
      </w:tblPr>
      <w:tblGrid>
        <w:gridCol w:w="3135"/>
        <w:gridCol w:w="2644"/>
      </w:tblGrid>
      <w:tr w:rsidR="00AA16E1" w:rsidRPr="00283E81" w14:paraId="3D119BC3" w14:textId="77777777" w:rsidTr="00AA16E1">
        <w:trPr>
          <w:cantSplit/>
          <w:trHeight w:val="15"/>
          <w:tblHeader/>
          <w:jc w:val="center"/>
        </w:trPr>
        <w:tc>
          <w:tcPr>
            <w:tcW w:w="3135" w:type="dxa"/>
            <w:shd w:val="clear" w:color="auto" w:fill="E5B8B7" w:themeFill="accent2" w:themeFillTint="66"/>
            <w:vAlign w:val="center"/>
          </w:tcPr>
          <w:p w14:paraId="2AEADC8E" w14:textId="77777777" w:rsidR="00AA16E1" w:rsidRPr="00283E81" w:rsidRDefault="00AA16E1" w:rsidP="00A9266F">
            <w:pPr>
              <w:ind w:left="174" w:hanging="174"/>
              <w:jc w:val="center"/>
              <w:rPr>
                <w:rFonts w:cs="Arial"/>
                <w:b/>
                <w:sz w:val="22"/>
                <w:szCs w:val="22"/>
              </w:rPr>
            </w:pPr>
            <w:r w:rsidRPr="00283E81">
              <w:rPr>
                <w:rFonts w:cs="Arial"/>
                <w:b/>
                <w:sz w:val="22"/>
                <w:szCs w:val="22"/>
              </w:rPr>
              <w:t>Indicador</w:t>
            </w:r>
          </w:p>
        </w:tc>
        <w:tc>
          <w:tcPr>
            <w:tcW w:w="2644" w:type="dxa"/>
            <w:shd w:val="clear" w:color="auto" w:fill="E5B8B7" w:themeFill="accent2" w:themeFillTint="66"/>
            <w:vAlign w:val="center"/>
          </w:tcPr>
          <w:p w14:paraId="0F1BEAF6" w14:textId="77777777" w:rsidR="00AA16E1" w:rsidRPr="00283E81" w:rsidRDefault="00AA16E1" w:rsidP="00A9266F">
            <w:pPr>
              <w:ind w:left="174" w:hanging="174"/>
              <w:jc w:val="center"/>
              <w:rPr>
                <w:rFonts w:cs="Arial"/>
                <w:b/>
                <w:sz w:val="22"/>
                <w:szCs w:val="22"/>
              </w:rPr>
            </w:pPr>
            <w:r w:rsidRPr="00283E81">
              <w:rPr>
                <w:rFonts w:cs="Arial"/>
                <w:b/>
                <w:sz w:val="22"/>
                <w:szCs w:val="22"/>
              </w:rPr>
              <w:t>Valor concertado</w:t>
            </w:r>
          </w:p>
        </w:tc>
      </w:tr>
      <w:tr w:rsidR="00AA16E1" w:rsidRPr="00283E81" w14:paraId="1CD0A0FE" w14:textId="77777777" w:rsidTr="00AA16E1">
        <w:trPr>
          <w:cantSplit/>
          <w:trHeight w:val="15"/>
          <w:jc w:val="center"/>
        </w:trPr>
        <w:tc>
          <w:tcPr>
            <w:tcW w:w="3135" w:type="dxa"/>
            <w:vAlign w:val="center"/>
          </w:tcPr>
          <w:p w14:paraId="4BED8975" w14:textId="77777777" w:rsidR="00AA16E1" w:rsidRPr="00283E81" w:rsidRDefault="00AA16E1" w:rsidP="00A9266F">
            <w:pPr>
              <w:jc w:val="center"/>
              <w:rPr>
                <w:rFonts w:cs="Arial"/>
                <w:sz w:val="22"/>
                <w:szCs w:val="22"/>
              </w:rPr>
            </w:pPr>
            <w:r w:rsidRPr="00283E81">
              <w:rPr>
                <w:rFonts w:cs="Arial"/>
                <w:sz w:val="22"/>
                <w:szCs w:val="22"/>
              </w:rPr>
              <w:t>Índice de liquidez</w:t>
            </w:r>
          </w:p>
        </w:tc>
        <w:tc>
          <w:tcPr>
            <w:tcW w:w="2644" w:type="dxa"/>
            <w:vAlign w:val="center"/>
          </w:tcPr>
          <w:p w14:paraId="298635F4" w14:textId="151EF7AF" w:rsidR="00AA16E1" w:rsidRPr="00283E81" w:rsidRDefault="00AA16E1" w:rsidP="00AA16E1">
            <w:pPr>
              <w:spacing w:before="240"/>
              <w:jc w:val="center"/>
              <w:rPr>
                <w:rFonts w:cs="Arial"/>
                <w:bCs/>
                <w:sz w:val="22"/>
                <w:szCs w:val="22"/>
              </w:rPr>
            </w:pPr>
            <m:oMath>
              <m:r>
                <m:rPr>
                  <m:sty m:val="p"/>
                </m:rPr>
                <w:rPr>
                  <w:rFonts w:ascii="Cambria Math" w:hAnsi="Cambria Math" w:cs="Arial"/>
                  <w:sz w:val="22"/>
                  <w:szCs w:val="22"/>
                </w:rPr>
                <m:t>≥</m:t>
              </m:r>
            </m:oMath>
            <w:r w:rsidRPr="00283E81">
              <w:rPr>
                <w:rFonts w:cs="Arial"/>
                <w:bCs/>
                <w:sz w:val="22"/>
                <w:szCs w:val="22"/>
              </w:rPr>
              <w:t>1,2</w:t>
            </w:r>
          </w:p>
        </w:tc>
      </w:tr>
      <w:tr w:rsidR="00AA16E1" w:rsidRPr="00283E81" w14:paraId="5315A1A2" w14:textId="77777777" w:rsidTr="00AA16E1">
        <w:trPr>
          <w:cantSplit/>
          <w:trHeight w:val="15"/>
          <w:jc w:val="center"/>
        </w:trPr>
        <w:tc>
          <w:tcPr>
            <w:tcW w:w="3135" w:type="dxa"/>
            <w:vAlign w:val="center"/>
          </w:tcPr>
          <w:p w14:paraId="0D8816C2" w14:textId="77777777" w:rsidR="00AA16E1" w:rsidRPr="00283E81" w:rsidRDefault="00AA16E1" w:rsidP="00A9266F">
            <w:pPr>
              <w:jc w:val="center"/>
              <w:rPr>
                <w:rFonts w:cs="Arial"/>
                <w:sz w:val="22"/>
                <w:szCs w:val="22"/>
              </w:rPr>
            </w:pPr>
            <w:r w:rsidRPr="00283E81">
              <w:rPr>
                <w:rFonts w:cs="Arial"/>
                <w:sz w:val="22"/>
                <w:szCs w:val="22"/>
              </w:rPr>
              <w:t>Índice de endeudamiento</w:t>
            </w:r>
          </w:p>
        </w:tc>
        <w:tc>
          <w:tcPr>
            <w:tcW w:w="2644" w:type="dxa"/>
            <w:vAlign w:val="center"/>
          </w:tcPr>
          <w:p w14:paraId="38DDD09E" w14:textId="77777777" w:rsidR="00AA16E1" w:rsidRPr="00283E81" w:rsidRDefault="00AA16E1" w:rsidP="00A9266F">
            <w:pPr>
              <w:jc w:val="center"/>
              <w:rPr>
                <w:rFonts w:eastAsiaTheme="minorEastAsia" w:cs="Arial"/>
                <w:bCs/>
                <w:sz w:val="22"/>
                <w:szCs w:val="22"/>
              </w:rPr>
            </w:pPr>
          </w:p>
          <w:p w14:paraId="792672F9" w14:textId="60109F48"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 0,70</m:t>
                </m:r>
              </m:oMath>
            </m:oMathPara>
          </w:p>
        </w:tc>
      </w:tr>
      <w:tr w:rsidR="00AA16E1" w:rsidRPr="00283E81" w14:paraId="49BC2211" w14:textId="77777777" w:rsidTr="00AA16E1">
        <w:trPr>
          <w:cantSplit/>
          <w:trHeight w:val="15"/>
          <w:jc w:val="center"/>
        </w:trPr>
        <w:tc>
          <w:tcPr>
            <w:tcW w:w="3135" w:type="dxa"/>
            <w:vAlign w:val="center"/>
          </w:tcPr>
          <w:p w14:paraId="4DEE98F4" w14:textId="77777777" w:rsidR="00AA16E1" w:rsidRPr="00283E81" w:rsidRDefault="00AA16E1" w:rsidP="00A9266F">
            <w:pPr>
              <w:jc w:val="center"/>
              <w:rPr>
                <w:rFonts w:cs="Arial"/>
                <w:sz w:val="22"/>
                <w:szCs w:val="22"/>
              </w:rPr>
            </w:pPr>
            <w:r w:rsidRPr="00283E81">
              <w:rPr>
                <w:rFonts w:cs="Arial"/>
                <w:sz w:val="22"/>
                <w:szCs w:val="22"/>
              </w:rPr>
              <w:t>Razón de cobertura de intereses</w:t>
            </w:r>
          </w:p>
        </w:tc>
        <w:tc>
          <w:tcPr>
            <w:tcW w:w="2644" w:type="dxa"/>
            <w:vAlign w:val="center"/>
          </w:tcPr>
          <w:p w14:paraId="556EAF11" w14:textId="77777777" w:rsidR="00AA16E1" w:rsidRPr="00283E81" w:rsidRDefault="00AA16E1" w:rsidP="00A9266F">
            <w:pPr>
              <w:jc w:val="center"/>
              <w:rPr>
                <w:rFonts w:eastAsiaTheme="minorEastAsia" w:cs="Arial"/>
                <w:bCs/>
                <w:sz w:val="22"/>
                <w:szCs w:val="22"/>
              </w:rPr>
            </w:pPr>
          </w:p>
          <w:p w14:paraId="16A16C15" w14:textId="78BB7B86"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≥1</m:t>
                </m:r>
              </m:oMath>
            </m:oMathPara>
          </w:p>
        </w:tc>
      </w:tr>
      <w:tr w:rsidR="00AA16E1" w:rsidRPr="00283E81" w14:paraId="5863E29A" w14:textId="77777777" w:rsidTr="00AA16E1">
        <w:trPr>
          <w:cantSplit/>
          <w:trHeight w:val="15"/>
          <w:jc w:val="center"/>
        </w:trPr>
        <w:tc>
          <w:tcPr>
            <w:tcW w:w="3135" w:type="dxa"/>
            <w:vAlign w:val="center"/>
          </w:tcPr>
          <w:p w14:paraId="61D09D28" w14:textId="77777777" w:rsidR="00AA16E1" w:rsidRPr="00283E81" w:rsidRDefault="00AA16E1" w:rsidP="00A9266F">
            <w:pPr>
              <w:jc w:val="center"/>
              <w:rPr>
                <w:rFonts w:cs="Arial"/>
                <w:sz w:val="22"/>
                <w:szCs w:val="22"/>
              </w:rPr>
            </w:pPr>
            <w:r w:rsidRPr="00283E81">
              <w:rPr>
                <w:rFonts w:cs="Arial"/>
                <w:sz w:val="22"/>
                <w:szCs w:val="22"/>
              </w:rPr>
              <w:t>Capital de trabajo</w:t>
            </w:r>
          </w:p>
        </w:tc>
        <w:tc>
          <w:tcPr>
            <w:tcW w:w="2644" w:type="dxa"/>
            <w:vAlign w:val="center"/>
          </w:tcPr>
          <w:p w14:paraId="1B29F035" w14:textId="77777777" w:rsidR="00AA16E1" w:rsidRPr="00283E81" w:rsidRDefault="00AA16E1" w:rsidP="00A9266F">
            <w:pPr>
              <w:jc w:val="center"/>
              <w:rPr>
                <w:rFonts w:cs="Arial"/>
                <w:bCs/>
                <w:sz w:val="22"/>
                <w:szCs w:val="22"/>
              </w:rPr>
            </w:pPr>
          </w:p>
          <w:p w14:paraId="607089D0" w14:textId="4B7EB2DF" w:rsidR="00AA16E1" w:rsidRPr="00283E81" w:rsidRDefault="00AA16E1" w:rsidP="00AA16E1">
            <w:pPr>
              <w:jc w:val="center"/>
              <w:rPr>
                <w:rFonts w:cs="Arial"/>
                <w:bCs/>
                <w:sz w:val="22"/>
                <w:szCs w:val="22"/>
              </w:rPr>
            </w:pPr>
            <w:r w:rsidRPr="00283E81">
              <w:rPr>
                <w:rFonts w:cs="Arial"/>
                <w:bCs/>
                <w:sz w:val="22"/>
                <w:szCs w:val="22"/>
              </w:rPr>
              <w:t>Definido en los Pliegos Tipo</w:t>
            </w:r>
          </w:p>
        </w:tc>
      </w:tr>
      <w:tr w:rsidR="00AA16E1" w:rsidRPr="00283E81" w14:paraId="68B6EE44" w14:textId="77777777" w:rsidTr="00AA16E1">
        <w:trPr>
          <w:cantSplit/>
          <w:trHeight w:val="15"/>
          <w:jc w:val="center"/>
        </w:trPr>
        <w:tc>
          <w:tcPr>
            <w:tcW w:w="3135" w:type="dxa"/>
            <w:vAlign w:val="center"/>
          </w:tcPr>
          <w:p w14:paraId="114D1D6F" w14:textId="77777777" w:rsidR="00AA16E1" w:rsidRPr="00283E81" w:rsidRDefault="00AA16E1" w:rsidP="00A9266F">
            <w:pPr>
              <w:jc w:val="center"/>
              <w:rPr>
                <w:rFonts w:cs="Arial"/>
                <w:sz w:val="22"/>
                <w:szCs w:val="22"/>
              </w:rPr>
            </w:pPr>
            <w:r w:rsidRPr="00283E81">
              <w:rPr>
                <w:rFonts w:cs="Arial"/>
                <w:sz w:val="22"/>
                <w:szCs w:val="22"/>
              </w:rPr>
              <w:t>Rentabilidad del patrimonio</w:t>
            </w:r>
          </w:p>
        </w:tc>
        <w:tc>
          <w:tcPr>
            <w:tcW w:w="2644" w:type="dxa"/>
            <w:vAlign w:val="center"/>
          </w:tcPr>
          <w:p w14:paraId="566ED91B" w14:textId="77777777" w:rsidR="00AA16E1" w:rsidRPr="00283E81" w:rsidRDefault="00AA16E1" w:rsidP="00A9266F">
            <w:pPr>
              <w:jc w:val="center"/>
              <w:rPr>
                <w:rFonts w:eastAsiaTheme="minorEastAsia" w:cs="Arial"/>
                <w:bCs/>
                <w:sz w:val="22"/>
                <w:szCs w:val="22"/>
              </w:rPr>
            </w:pPr>
          </w:p>
          <w:p w14:paraId="0C6A6525" w14:textId="56A10421"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≥0</m:t>
                </m:r>
                <m:r>
                  <w:rPr>
                    <w:rFonts w:ascii="Cambria Math" w:eastAsiaTheme="minorEastAsia" w:hAnsi="Cambria Math" w:cs="Arial"/>
                    <w:sz w:val="22"/>
                    <w:szCs w:val="22"/>
                  </w:rPr>
                  <m:t>,04</m:t>
                </m:r>
              </m:oMath>
            </m:oMathPara>
          </w:p>
        </w:tc>
      </w:tr>
      <w:tr w:rsidR="00AA16E1" w:rsidRPr="00283E81" w14:paraId="5DEDE2CC" w14:textId="77777777" w:rsidTr="00AA16E1">
        <w:trPr>
          <w:cantSplit/>
          <w:trHeight w:val="15"/>
          <w:jc w:val="center"/>
        </w:trPr>
        <w:tc>
          <w:tcPr>
            <w:tcW w:w="3135" w:type="dxa"/>
            <w:vAlign w:val="center"/>
          </w:tcPr>
          <w:p w14:paraId="39DF51CB" w14:textId="77777777" w:rsidR="00AA16E1" w:rsidRPr="00283E81" w:rsidRDefault="00AA16E1" w:rsidP="00A9266F">
            <w:pPr>
              <w:jc w:val="center"/>
              <w:rPr>
                <w:rFonts w:cs="Arial"/>
                <w:sz w:val="22"/>
                <w:szCs w:val="22"/>
              </w:rPr>
            </w:pPr>
            <w:r w:rsidRPr="00283E81">
              <w:rPr>
                <w:rFonts w:cs="Arial"/>
                <w:sz w:val="22"/>
                <w:szCs w:val="22"/>
              </w:rPr>
              <w:t>Rentabilidad del activo</w:t>
            </w:r>
          </w:p>
        </w:tc>
        <w:tc>
          <w:tcPr>
            <w:tcW w:w="2644" w:type="dxa"/>
            <w:vAlign w:val="center"/>
          </w:tcPr>
          <w:p w14:paraId="47519EBB" w14:textId="77777777" w:rsidR="00AA16E1" w:rsidRPr="00283E81" w:rsidRDefault="00AA16E1" w:rsidP="00A9266F">
            <w:pPr>
              <w:jc w:val="center"/>
              <w:rPr>
                <w:rFonts w:eastAsiaTheme="minorEastAsia" w:cs="Arial"/>
                <w:bCs/>
                <w:sz w:val="22"/>
                <w:szCs w:val="22"/>
              </w:rPr>
            </w:pPr>
          </w:p>
          <w:p w14:paraId="2AD8E5A0" w14:textId="7A284E23"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≥0,02</m:t>
                </m:r>
              </m:oMath>
            </m:oMathPara>
          </w:p>
        </w:tc>
      </w:tr>
    </w:tbl>
    <w:p w14:paraId="0A228461" w14:textId="77777777" w:rsidR="00AA16E1" w:rsidRPr="00283E81" w:rsidRDefault="00AA16E1" w:rsidP="00AA16E1">
      <w:pPr>
        <w:jc w:val="both"/>
        <w:rPr>
          <w:rFonts w:ascii="Garamond" w:hAnsi="Garamond" w:cs="Arial"/>
          <w:sz w:val="22"/>
          <w:szCs w:val="22"/>
          <w:lang w:val="es-419"/>
        </w:rPr>
      </w:pPr>
    </w:p>
    <w:p w14:paraId="6B5A6FF6" w14:textId="77777777" w:rsidR="00AA16E1" w:rsidRPr="00283E81" w:rsidRDefault="00AA16E1" w:rsidP="00AA16E1">
      <w:pPr>
        <w:jc w:val="both"/>
        <w:rPr>
          <w:rFonts w:ascii="Garamond" w:hAnsi="Garamond"/>
          <w:sz w:val="22"/>
          <w:szCs w:val="22"/>
        </w:rPr>
      </w:pPr>
      <w:r w:rsidRPr="00283E81">
        <w:rPr>
          <w:rFonts w:ascii="Garamond" w:hAnsi="Garamond" w:cs="Arial"/>
          <w:sz w:val="22"/>
          <w:szCs w:val="22"/>
          <w:lang w:val="es-419"/>
        </w:rPr>
        <w:t xml:space="preserve">Los indicadores definidos en la presente matriz deben ser usados por las Entidades en la estructuración de los Documentos del Proceso de Contratación de selección abreviada de menor cuantía para obra pública para infraestructura social. </w:t>
      </w:r>
    </w:p>
    <w:p w14:paraId="35503828" w14:textId="77777777" w:rsidR="00E12C5A" w:rsidRPr="00283E81" w:rsidRDefault="00E12C5A" w:rsidP="00E12C5A">
      <w:pPr>
        <w:widowControl/>
        <w:ind w:left="284" w:right="116"/>
        <w:jc w:val="both"/>
        <w:rPr>
          <w:rFonts w:ascii="Garamond" w:hAnsi="Garamond"/>
          <w:sz w:val="22"/>
          <w:szCs w:val="22"/>
        </w:rPr>
      </w:pPr>
    </w:p>
    <w:p w14:paraId="6187329E" w14:textId="77777777" w:rsidR="00E12C5A" w:rsidRPr="00283E81" w:rsidRDefault="00E12C5A" w:rsidP="00E12C5A">
      <w:pPr>
        <w:keepNext/>
        <w:widowControl/>
        <w:spacing w:before="1" w:after="60" w:line="232" w:lineRule="auto"/>
        <w:ind w:left="284" w:right="116"/>
        <w:jc w:val="both"/>
        <w:rPr>
          <w:rFonts w:ascii="Garamond" w:hAnsi="Garamond"/>
          <w:b/>
          <w:sz w:val="22"/>
          <w:szCs w:val="22"/>
        </w:rPr>
      </w:pPr>
      <w:bookmarkStart w:id="27" w:name="_heading=h.qng8aqi2dr76" w:colFirst="0" w:colLast="0"/>
      <w:bookmarkEnd w:id="27"/>
      <w:r w:rsidRPr="00283E81">
        <w:rPr>
          <w:rFonts w:ascii="Garamond" w:hAnsi="Garamond"/>
          <w:b/>
          <w:sz w:val="22"/>
          <w:szCs w:val="22"/>
        </w:rPr>
        <w:t>PERSONAL MÍNIMO REQUERIDO PARA LA CORRECTA EJECUCIÓN DE LA OBRA (EN CASO DE SER ADJUDICATARIO)</w:t>
      </w:r>
    </w:p>
    <w:p w14:paraId="1AADBA4E" w14:textId="77777777" w:rsidR="00E12C5A" w:rsidRPr="00283E81" w:rsidRDefault="00E12C5A" w:rsidP="00E12C5A">
      <w:pPr>
        <w:widowControl/>
        <w:spacing w:before="275" w:line="232" w:lineRule="auto"/>
        <w:ind w:left="284" w:right="116"/>
        <w:jc w:val="both"/>
        <w:rPr>
          <w:rFonts w:ascii="Garamond" w:hAnsi="Garamond"/>
          <w:sz w:val="22"/>
          <w:szCs w:val="22"/>
        </w:rPr>
      </w:pPr>
      <w:r w:rsidRPr="00283E81">
        <w:rPr>
          <w:rFonts w:ascii="Garamond" w:hAnsi="Garamond"/>
          <w:sz w:val="22"/>
          <w:szCs w:val="22"/>
        </w:rPr>
        <w:t>Para efectos del análisis de la información del personal, se tendrán en cuenta las siguientes consideraciones:</w:t>
      </w:r>
    </w:p>
    <w:p w14:paraId="15D11330" w14:textId="77777777" w:rsidR="00E12C5A" w:rsidRPr="00283E81" w:rsidRDefault="00E12C5A" w:rsidP="00E12C5A">
      <w:pPr>
        <w:widowControl/>
        <w:spacing w:before="10" w:line="360" w:lineRule="auto"/>
        <w:ind w:left="284" w:right="116"/>
        <w:jc w:val="both"/>
        <w:rPr>
          <w:rFonts w:ascii="Garamond" w:hAnsi="Garamond"/>
          <w:sz w:val="22"/>
          <w:szCs w:val="22"/>
        </w:rPr>
      </w:pPr>
    </w:p>
    <w:p w14:paraId="10D9CB8B" w14:textId="77777777" w:rsidR="00E12C5A" w:rsidRPr="00283E81" w:rsidRDefault="00E12C5A" w:rsidP="003400E2">
      <w:pPr>
        <w:numPr>
          <w:ilvl w:val="0"/>
          <w:numId w:val="39"/>
        </w:numPr>
        <w:tabs>
          <w:tab w:val="left" w:pos="874"/>
          <w:tab w:val="left" w:pos="876"/>
        </w:tabs>
        <w:suppressAutoHyphens w:val="0"/>
        <w:autoSpaceDN/>
        <w:spacing w:before="1" w:line="232" w:lineRule="auto"/>
        <w:ind w:left="284" w:right="116" w:firstLine="0"/>
        <w:jc w:val="both"/>
        <w:textAlignment w:val="auto"/>
        <w:rPr>
          <w:rFonts w:ascii="Garamond" w:hAnsi="Garamond"/>
          <w:sz w:val="22"/>
          <w:szCs w:val="22"/>
        </w:rPr>
      </w:pPr>
      <w:r w:rsidRPr="00283E81">
        <w:rPr>
          <w:rFonts w:ascii="Garamond" w:hAnsi="Garamond"/>
          <w:sz w:val="22"/>
          <w:szCs w:val="22"/>
        </w:rPr>
        <w:t xml:space="preserve">Las hojas de vida y soportes del personal vinculado al proyecto serán verificadas una vez se adjudique el contrato y no podrán ser pedidas durante la selección del contratista para efectos de otorgar puntaje o </w:t>
      </w:r>
      <w:r w:rsidRPr="00283E81">
        <w:rPr>
          <w:rFonts w:ascii="Garamond" w:hAnsi="Garamond"/>
          <w:sz w:val="22"/>
          <w:szCs w:val="22"/>
        </w:rPr>
        <w:lastRenderedPageBreak/>
        <w:t>como criterio habilitante.</w:t>
      </w:r>
    </w:p>
    <w:p w14:paraId="0E624254" w14:textId="77777777" w:rsidR="00E12C5A" w:rsidRPr="00283E81" w:rsidRDefault="00E12C5A" w:rsidP="003400E2">
      <w:pPr>
        <w:numPr>
          <w:ilvl w:val="0"/>
          <w:numId w:val="39"/>
        </w:numPr>
        <w:tabs>
          <w:tab w:val="left" w:pos="874"/>
          <w:tab w:val="left" w:pos="876"/>
        </w:tabs>
        <w:suppressAutoHyphens w:val="0"/>
        <w:autoSpaceDN/>
        <w:spacing w:before="15" w:line="235" w:lineRule="auto"/>
        <w:ind w:left="284" w:right="116" w:firstLine="0"/>
        <w:jc w:val="both"/>
        <w:textAlignment w:val="auto"/>
        <w:rPr>
          <w:rFonts w:ascii="Garamond" w:hAnsi="Garamond"/>
          <w:sz w:val="22"/>
          <w:szCs w:val="22"/>
        </w:rPr>
      </w:pPr>
      <w:r w:rsidRPr="00283E81">
        <w:rPr>
          <w:rFonts w:ascii="Garamond" w:hAnsi="Garamond"/>
          <w:sz w:val="22"/>
          <w:szCs w:val="22"/>
        </w:rPr>
        <w:t>Si el contratista ofrece dos (2) o más profesionales para realizar actividades de un mismo cargo, cada uno de ellos deberá cumplir los requisitos exigidos en los pliegos de condiciones para el respectivo cargo. Un mismo profesional no puede ser ofrecido para dos o más cargos diferentes.</w:t>
      </w:r>
    </w:p>
    <w:p w14:paraId="6A975825" w14:textId="77777777" w:rsidR="00E12C5A" w:rsidRPr="00283E81" w:rsidRDefault="00E12C5A" w:rsidP="003400E2">
      <w:pPr>
        <w:numPr>
          <w:ilvl w:val="0"/>
          <w:numId w:val="39"/>
        </w:numPr>
        <w:tabs>
          <w:tab w:val="left" w:pos="874"/>
          <w:tab w:val="left" w:pos="876"/>
        </w:tabs>
        <w:suppressAutoHyphens w:val="0"/>
        <w:autoSpaceDN/>
        <w:spacing w:before="10" w:line="232" w:lineRule="auto"/>
        <w:ind w:left="284" w:right="116" w:firstLine="0"/>
        <w:jc w:val="both"/>
        <w:textAlignment w:val="auto"/>
        <w:rPr>
          <w:rFonts w:ascii="Garamond" w:hAnsi="Garamond"/>
          <w:sz w:val="22"/>
          <w:szCs w:val="22"/>
        </w:rPr>
      </w:pPr>
      <w:r w:rsidRPr="00283E81">
        <w:rPr>
          <w:rFonts w:ascii="Garamond" w:hAnsi="Garamond"/>
          <w:sz w:val="22"/>
          <w:szCs w:val="22"/>
        </w:rPr>
        <w:t>El contratista debe informar la fecha a partir de la cual los profesionales ofrecidos ejercen legalmente la profesión.</w:t>
      </w:r>
    </w:p>
    <w:p w14:paraId="4B1D7628" w14:textId="77777777" w:rsidR="00E12C5A" w:rsidRPr="00283E81" w:rsidRDefault="00E12C5A" w:rsidP="003400E2">
      <w:pPr>
        <w:numPr>
          <w:ilvl w:val="0"/>
          <w:numId w:val="39"/>
        </w:numPr>
        <w:tabs>
          <w:tab w:val="left" w:pos="874"/>
          <w:tab w:val="left" w:pos="876"/>
        </w:tabs>
        <w:suppressAutoHyphens w:val="0"/>
        <w:autoSpaceDN/>
        <w:spacing w:before="17" w:line="232" w:lineRule="auto"/>
        <w:ind w:left="284" w:right="116" w:firstLine="0"/>
        <w:jc w:val="both"/>
        <w:textAlignment w:val="auto"/>
        <w:rPr>
          <w:rFonts w:ascii="Garamond" w:hAnsi="Garamond"/>
          <w:sz w:val="22"/>
          <w:szCs w:val="22"/>
        </w:rPr>
      </w:pPr>
      <w:r w:rsidRPr="00283E81">
        <w:rPr>
          <w:rFonts w:ascii="Garamond" w:hAnsi="Garamond"/>
          <w:sz w:val="22"/>
          <w:szCs w:val="22"/>
        </w:rPr>
        <w:t>Las certificaciones de experiencia de los profesionales deben ser expedidas por la persona natural o jurídica con quien se haya establecido la relación laboral o de prestación de servicios.</w:t>
      </w:r>
    </w:p>
    <w:p w14:paraId="444AB9E4" w14:textId="77777777" w:rsidR="00E12C5A" w:rsidRPr="00283E81" w:rsidRDefault="00E12C5A" w:rsidP="003400E2">
      <w:pPr>
        <w:numPr>
          <w:ilvl w:val="0"/>
          <w:numId w:val="39"/>
        </w:numPr>
        <w:tabs>
          <w:tab w:val="left" w:pos="874"/>
          <w:tab w:val="left" w:pos="876"/>
        </w:tabs>
        <w:suppressAutoHyphens w:val="0"/>
        <w:autoSpaceDN/>
        <w:spacing w:before="17" w:line="232" w:lineRule="auto"/>
        <w:ind w:left="284" w:right="116" w:firstLine="0"/>
        <w:jc w:val="both"/>
        <w:textAlignment w:val="auto"/>
        <w:rPr>
          <w:rFonts w:ascii="Garamond" w:hAnsi="Garamond"/>
          <w:sz w:val="22"/>
          <w:szCs w:val="22"/>
        </w:rPr>
      </w:pPr>
      <w:r w:rsidRPr="00283E81">
        <w:rPr>
          <w:rFonts w:ascii="Garamond" w:hAnsi="Garamond"/>
          <w:sz w:val="22"/>
          <w:szCs w:val="22"/>
        </w:rPr>
        <w:t>El contratista es responsable de verificar que los profesionales propuestos tienen la disponibilidad real para la cual se vinculan al proyecto. De comprobarse dedicación inferior a la aprobada se aplicarán las sanciones a que haya lugar.</w:t>
      </w:r>
    </w:p>
    <w:p w14:paraId="01CA461C" w14:textId="77777777" w:rsidR="00E12C5A" w:rsidRPr="00283E81" w:rsidRDefault="00E12C5A" w:rsidP="003400E2">
      <w:pPr>
        <w:numPr>
          <w:ilvl w:val="0"/>
          <w:numId w:val="39"/>
        </w:numPr>
        <w:tabs>
          <w:tab w:val="left" w:pos="875"/>
        </w:tabs>
        <w:suppressAutoHyphens w:val="0"/>
        <w:autoSpaceDN/>
        <w:spacing w:before="11"/>
        <w:ind w:left="284" w:right="116" w:firstLine="0"/>
        <w:jc w:val="both"/>
        <w:textAlignment w:val="auto"/>
        <w:rPr>
          <w:rFonts w:ascii="Garamond" w:hAnsi="Garamond"/>
          <w:sz w:val="22"/>
          <w:szCs w:val="22"/>
        </w:rPr>
      </w:pPr>
      <w:r w:rsidRPr="00283E81">
        <w:rPr>
          <w:rFonts w:ascii="Garamond" w:hAnsi="Garamond"/>
          <w:sz w:val="22"/>
          <w:szCs w:val="22"/>
        </w:rPr>
        <w:t>En la determinación de la experiencia de los profesionales se aplicará la equivalencia, así:</w:t>
      </w:r>
    </w:p>
    <w:p w14:paraId="47F0515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6CBCFC" w14:textId="77777777" w:rsidR="00E12C5A" w:rsidRPr="00283E81" w:rsidRDefault="00E12C5A" w:rsidP="00E12C5A">
      <w:pPr>
        <w:widowControl/>
        <w:spacing w:before="63" w:after="1" w:line="360" w:lineRule="auto"/>
        <w:ind w:left="284" w:right="116"/>
        <w:jc w:val="both"/>
        <w:rPr>
          <w:rFonts w:ascii="Garamond" w:hAnsi="Garamond"/>
          <w:sz w:val="22"/>
          <w:szCs w:val="22"/>
        </w:rPr>
      </w:pPr>
    </w:p>
    <w:tbl>
      <w:tblPr>
        <w:tblW w:w="8527" w:type="dxa"/>
        <w:tblInd w:w="8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88"/>
        <w:gridCol w:w="3438"/>
        <w:gridCol w:w="3001"/>
      </w:tblGrid>
      <w:tr w:rsidR="00E12C5A" w:rsidRPr="00283E81" w14:paraId="253D61D6" w14:textId="77777777" w:rsidTr="00A111D3">
        <w:trPr>
          <w:trHeight w:val="546"/>
        </w:trPr>
        <w:tc>
          <w:tcPr>
            <w:tcW w:w="2088" w:type="dxa"/>
          </w:tcPr>
          <w:p w14:paraId="0B9B0C9B" w14:textId="77777777"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Postgrado con título</w:t>
            </w:r>
          </w:p>
        </w:tc>
        <w:tc>
          <w:tcPr>
            <w:tcW w:w="3438" w:type="dxa"/>
          </w:tcPr>
          <w:p w14:paraId="563F4FDA" w14:textId="17CEB9C2"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Requisitos de Experiencia General</w:t>
            </w:r>
          </w:p>
        </w:tc>
        <w:tc>
          <w:tcPr>
            <w:tcW w:w="3001" w:type="dxa"/>
          </w:tcPr>
          <w:p w14:paraId="55E74B37" w14:textId="77777777"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Requisitos de Experiencia Específica</w:t>
            </w:r>
          </w:p>
        </w:tc>
      </w:tr>
      <w:tr w:rsidR="00E12C5A" w:rsidRPr="00283E81" w14:paraId="76F25962" w14:textId="77777777" w:rsidTr="00A111D3">
        <w:trPr>
          <w:trHeight w:val="283"/>
        </w:trPr>
        <w:tc>
          <w:tcPr>
            <w:tcW w:w="2088" w:type="dxa"/>
          </w:tcPr>
          <w:p w14:paraId="3EDF14F3"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Especialización</w:t>
            </w:r>
          </w:p>
        </w:tc>
        <w:tc>
          <w:tcPr>
            <w:tcW w:w="3438" w:type="dxa"/>
          </w:tcPr>
          <w:p w14:paraId="0F338FB0"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Veinticuatro (24) meses</w:t>
            </w:r>
          </w:p>
        </w:tc>
        <w:tc>
          <w:tcPr>
            <w:tcW w:w="3001" w:type="dxa"/>
          </w:tcPr>
          <w:p w14:paraId="481C0B82"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Doce (12) meses</w:t>
            </w:r>
          </w:p>
        </w:tc>
      </w:tr>
      <w:tr w:rsidR="00E12C5A" w:rsidRPr="00283E81" w14:paraId="237FECAB" w14:textId="77777777" w:rsidTr="00A111D3">
        <w:trPr>
          <w:trHeight w:val="282"/>
        </w:trPr>
        <w:tc>
          <w:tcPr>
            <w:tcW w:w="2088" w:type="dxa"/>
          </w:tcPr>
          <w:p w14:paraId="4A5BF8AA"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Maestría</w:t>
            </w:r>
          </w:p>
        </w:tc>
        <w:tc>
          <w:tcPr>
            <w:tcW w:w="3438" w:type="dxa"/>
          </w:tcPr>
          <w:p w14:paraId="455F7989"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Treinta y seis (36) meses</w:t>
            </w:r>
          </w:p>
        </w:tc>
        <w:tc>
          <w:tcPr>
            <w:tcW w:w="3001" w:type="dxa"/>
          </w:tcPr>
          <w:p w14:paraId="7AC64632"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Dieciocho (18) meses</w:t>
            </w:r>
          </w:p>
        </w:tc>
      </w:tr>
      <w:tr w:rsidR="00E12C5A" w:rsidRPr="00283E81" w14:paraId="3C7386DC" w14:textId="77777777" w:rsidTr="00A111D3">
        <w:trPr>
          <w:trHeight w:val="278"/>
        </w:trPr>
        <w:tc>
          <w:tcPr>
            <w:tcW w:w="2088" w:type="dxa"/>
          </w:tcPr>
          <w:p w14:paraId="7DA72360"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Doctorado</w:t>
            </w:r>
          </w:p>
        </w:tc>
        <w:tc>
          <w:tcPr>
            <w:tcW w:w="3438" w:type="dxa"/>
          </w:tcPr>
          <w:p w14:paraId="1005101D"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Cuarenta y ocho (48) meses</w:t>
            </w:r>
          </w:p>
        </w:tc>
        <w:tc>
          <w:tcPr>
            <w:tcW w:w="3001" w:type="dxa"/>
          </w:tcPr>
          <w:p w14:paraId="2D47F44A"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Veinticuatro (24) meses</w:t>
            </w:r>
          </w:p>
        </w:tc>
      </w:tr>
    </w:tbl>
    <w:p w14:paraId="370986CE" w14:textId="77777777" w:rsidR="00E12C5A" w:rsidRPr="00283E81" w:rsidRDefault="00E12C5A" w:rsidP="00E12C5A">
      <w:pPr>
        <w:widowControl/>
        <w:spacing w:line="360" w:lineRule="auto"/>
        <w:ind w:left="284" w:right="116"/>
        <w:jc w:val="both"/>
        <w:rPr>
          <w:rFonts w:ascii="Garamond" w:hAnsi="Garamond"/>
          <w:sz w:val="22"/>
          <w:szCs w:val="22"/>
        </w:rPr>
      </w:pPr>
      <w:r w:rsidRPr="00283E81">
        <w:rPr>
          <w:rFonts w:ascii="Garamond" w:hAnsi="Garamond"/>
          <w:sz w:val="22"/>
          <w:szCs w:val="22"/>
        </w:rPr>
        <w:t xml:space="preserve"> </w:t>
      </w:r>
    </w:p>
    <w:p w14:paraId="61F6C9C2" w14:textId="77777777" w:rsidR="00E12C5A" w:rsidRPr="00283E81" w:rsidRDefault="00E12C5A" w:rsidP="00E12C5A">
      <w:pPr>
        <w:widowControl/>
        <w:spacing w:line="360" w:lineRule="auto"/>
        <w:ind w:left="284" w:right="116"/>
        <w:jc w:val="both"/>
        <w:rPr>
          <w:rFonts w:ascii="Garamond" w:hAnsi="Garamond"/>
          <w:sz w:val="22"/>
          <w:szCs w:val="22"/>
        </w:rPr>
      </w:pPr>
      <w:r w:rsidRPr="00283E81">
        <w:rPr>
          <w:rFonts w:ascii="Garamond" w:hAnsi="Garamond"/>
          <w:sz w:val="22"/>
          <w:szCs w:val="22"/>
        </w:rPr>
        <w:t>Las equivalencias se pueden aplicar en los siguientes eventos</w:t>
      </w:r>
    </w:p>
    <w:p w14:paraId="53A70FCF" w14:textId="77777777" w:rsidR="00E12C5A" w:rsidRPr="00283E81" w:rsidRDefault="00E12C5A" w:rsidP="003400E2">
      <w:pPr>
        <w:numPr>
          <w:ilvl w:val="1"/>
          <w:numId w:val="39"/>
        </w:numPr>
        <w:tabs>
          <w:tab w:val="left" w:pos="1596"/>
        </w:tabs>
        <w:suppressAutoHyphens w:val="0"/>
        <w:autoSpaceDN/>
        <w:spacing w:before="1"/>
        <w:ind w:left="284" w:right="116" w:firstLine="0"/>
        <w:jc w:val="both"/>
        <w:textAlignment w:val="auto"/>
        <w:rPr>
          <w:rFonts w:ascii="Garamond" w:hAnsi="Garamond"/>
          <w:sz w:val="22"/>
          <w:szCs w:val="22"/>
        </w:rPr>
      </w:pPr>
      <w:r w:rsidRPr="00283E81">
        <w:rPr>
          <w:rFonts w:ascii="Garamond" w:hAnsi="Garamond"/>
          <w:sz w:val="22"/>
          <w:szCs w:val="22"/>
        </w:rPr>
        <w:t>Título de posgrado en las diferentes modalidades por experiencia general y viceversa.</w:t>
      </w:r>
    </w:p>
    <w:p w14:paraId="4B166D76" w14:textId="77777777" w:rsidR="00E12C5A" w:rsidRPr="00283E81" w:rsidRDefault="00E12C5A" w:rsidP="003400E2">
      <w:pPr>
        <w:numPr>
          <w:ilvl w:val="1"/>
          <w:numId w:val="39"/>
        </w:numPr>
        <w:tabs>
          <w:tab w:val="left" w:pos="1597"/>
        </w:tabs>
        <w:suppressAutoHyphens w:val="0"/>
        <w:autoSpaceDN/>
        <w:spacing w:before="30" w:line="232" w:lineRule="auto"/>
        <w:ind w:left="284" w:right="116" w:firstLine="0"/>
        <w:jc w:val="both"/>
        <w:textAlignment w:val="auto"/>
        <w:rPr>
          <w:rFonts w:ascii="Garamond" w:hAnsi="Garamond"/>
          <w:sz w:val="22"/>
          <w:szCs w:val="22"/>
        </w:rPr>
      </w:pPr>
      <w:r w:rsidRPr="00283E81">
        <w:rPr>
          <w:rFonts w:ascii="Garamond" w:hAnsi="Garamond"/>
          <w:sz w:val="22"/>
          <w:szCs w:val="22"/>
        </w:rPr>
        <w:t>Título de posgrado en las diferentes modalidades por experiencia específica y vice- versa.</w:t>
      </w:r>
    </w:p>
    <w:p w14:paraId="36722BF9" w14:textId="77777777" w:rsidR="00E12C5A" w:rsidRPr="00283E81" w:rsidRDefault="00E12C5A" w:rsidP="003400E2">
      <w:pPr>
        <w:numPr>
          <w:ilvl w:val="1"/>
          <w:numId w:val="39"/>
        </w:numPr>
        <w:tabs>
          <w:tab w:val="left" w:pos="1597"/>
        </w:tabs>
        <w:suppressAutoHyphens w:val="0"/>
        <w:autoSpaceDN/>
        <w:spacing w:before="32" w:line="232" w:lineRule="auto"/>
        <w:ind w:left="284" w:right="116" w:firstLine="0"/>
        <w:jc w:val="both"/>
        <w:textAlignment w:val="auto"/>
        <w:rPr>
          <w:rFonts w:ascii="Garamond" w:hAnsi="Garamond"/>
          <w:sz w:val="22"/>
          <w:szCs w:val="22"/>
        </w:rPr>
      </w:pPr>
      <w:r w:rsidRPr="00283E81">
        <w:rPr>
          <w:rFonts w:ascii="Garamond" w:hAnsi="Garamond"/>
          <w:sz w:val="22"/>
          <w:szCs w:val="22"/>
        </w:rPr>
        <w:t>No se puede aplicar equivalencia de experiencia general por experiencia especifica o viceversa.</w:t>
      </w:r>
    </w:p>
    <w:p w14:paraId="550DBCB5" w14:textId="77777777" w:rsidR="00E12C5A" w:rsidRPr="00283E81" w:rsidRDefault="00E12C5A" w:rsidP="00E12C5A">
      <w:pPr>
        <w:tabs>
          <w:tab w:val="left" w:pos="1597"/>
        </w:tabs>
        <w:spacing w:before="32" w:line="232" w:lineRule="auto"/>
        <w:ind w:left="284" w:right="116"/>
        <w:jc w:val="both"/>
        <w:rPr>
          <w:rFonts w:ascii="Garamond" w:hAnsi="Garamond"/>
          <w:sz w:val="22"/>
          <w:szCs w:val="22"/>
        </w:rPr>
      </w:pPr>
    </w:p>
    <w:p w14:paraId="0B0D5003" w14:textId="77777777" w:rsidR="00E12C5A" w:rsidRPr="00283E81" w:rsidRDefault="00E12C5A" w:rsidP="00E12C5A">
      <w:pPr>
        <w:widowControl/>
        <w:spacing w:before="14" w:line="235" w:lineRule="auto"/>
        <w:ind w:left="284" w:right="116"/>
        <w:jc w:val="both"/>
        <w:rPr>
          <w:rFonts w:ascii="Garamond" w:hAnsi="Garamond"/>
          <w:sz w:val="22"/>
          <w:szCs w:val="22"/>
        </w:rPr>
      </w:pPr>
      <w:r w:rsidRPr="00283E81">
        <w:rPr>
          <w:rFonts w:ascii="Garamond" w:hAnsi="Garamond"/>
          <w:sz w:val="22"/>
          <w:szCs w:val="22"/>
        </w:rPr>
        <w:t>El personal relacionado debe estar contratado o contemplado dentro de la planta de personal del contratista y su costo debe incluirse dentro de los gastos de administración general del contrato.</w:t>
      </w:r>
    </w:p>
    <w:p w14:paraId="18C337EB" w14:textId="77777777" w:rsidR="00E12C5A" w:rsidRPr="00283E81" w:rsidRDefault="00E12C5A" w:rsidP="00E12C5A">
      <w:pPr>
        <w:widowControl/>
        <w:spacing w:before="9" w:line="360" w:lineRule="auto"/>
        <w:ind w:left="284" w:right="116"/>
        <w:jc w:val="both"/>
        <w:rPr>
          <w:rFonts w:ascii="Garamond" w:hAnsi="Garamond"/>
          <w:sz w:val="22"/>
          <w:szCs w:val="22"/>
        </w:rPr>
      </w:pPr>
    </w:p>
    <w:p w14:paraId="1444E806"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28" w:name="_heading=h.ufy85onvanw3" w:colFirst="0" w:colLast="0"/>
      <w:bookmarkEnd w:id="28"/>
      <w:r w:rsidRPr="00283E81">
        <w:rPr>
          <w:rFonts w:ascii="Garamond" w:hAnsi="Garamond"/>
          <w:color w:val="000000"/>
          <w:sz w:val="22"/>
          <w:szCs w:val="22"/>
        </w:rPr>
        <w:t>Requisitos del personal</w:t>
      </w:r>
    </w:p>
    <w:p w14:paraId="3285E3C1" w14:textId="77777777" w:rsidR="00E12C5A" w:rsidRPr="00283E81" w:rsidRDefault="00E12C5A" w:rsidP="00E12C5A">
      <w:pPr>
        <w:widowControl/>
        <w:spacing w:before="17" w:line="360" w:lineRule="auto"/>
        <w:ind w:left="284" w:right="116"/>
        <w:jc w:val="both"/>
        <w:rPr>
          <w:rFonts w:ascii="Garamond" w:hAnsi="Garamond"/>
          <w:b/>
          <w:sz w:val="22"/>
          <w:szCs w:val="22"/>
        </w:rPr>
      </w:pPr>
    </w:p>
    <w:p w14:paraId="557F3815" w14:textId="77777777" w:rsidR="00E12C5A" w:rsidRPr="00283E81" w:rsidRDefault="00E12C5A" w:rsidP="00E12C5A">
      <w:pPr>
        <w:widowControl/>
        <w:spacing w:line="232" w:lineRule="auto"/>
        <w:ind w:left="284" w:right="116"/>
        <w:jc w:val="both"/>
        <w:rPr>
          <w:rFonts w:ascii="Garamond" w:hAnsi="Garamond"/>
          <w:sz w:val="22"/>
          <w:szCs w:val="22"/>
        </w:rPr>
      </w:pPr>
      <w:r w:rsidRPr="00283E81">
        <w:rPr>
          <w:rFonts w:ascii="Garamond" w:hAnsi="Garamond"/>
          <w:sz w:val="22"/>
          <w:szCs w:val="22"/>
        </w:rPr>
        <w:t>Todos los profesionales exigidos, deben cumplir y acreditar, como mínimo, los siguientes requisitos de formación y experiencia:</w:t>
      </w:r>
    </w:p>
    <w:p w14:paraId="0C9756B9" w14:textId="77777777" w:rsidR="00E12C5A" w:rsidRPr="00283E81" w:rsidRDefault="00E12C5A" w:rsidP="00E12C5A">
      <w:pPr>
        <w:widowControl/>
        <w:spacing w:line="232" w:lineRule="auto"/>
        <w:ind w:left="284" w:right="116"/>
        <w:jc w:val="both"/>
        <w:rPr>
          <w:rFonts w:ascii="Garamond" w:hAnsi="Garamond"/>
          <w:sz w:val="22"/>
          <w:szCs w:val="22"/>
        </w:rPr>
      </w:pPr>
    </w:p>
    <w:tbl>
      <w:tblPr>
        <w:tblW w:w="9810" w:type="dxa"/>
        <w:tblInd w:w="1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28"/>
        <w:gridCol w:w="6982"/>
      </w:tblGrid>
      <w:tr w:rsidR="00E12C5A" w:rsidRPr="00283E81" w14:paraId="68648EEA" w14:textId="77777777" w:rsidTr="44744DA9">
        <w:trPr>
          <w:trHeight w:val="498"/>
        </w:trPr>
        <w:tc>
          <w:tcPr>
            <w:tcW w:w="2828" w:type="dxa"/>
          </w:tcPr>
          <w:p w14:paraId="24E6A990" w14:textId="77777777" w:rsidR="00E12C5A" w:rsidRPr="00283E81" w:rsidRDefault="00E12C5A" w:rsidP="00A111D3">
            <w:pPr>
              <w:pBdr>
                <w:top w:val="nil"/>
                <w:left w:val="nil"/>
                <w:bottom w:val="nil"/>
                <w:right w:val="nil"/>
                <w:between w:val="nil"/>
              </w:pBdr>
              <w:spacing w:before="97"/>
              <w:ind w:left="284" w:right="116"/>
              <w:jc w:val="both"/>
              <w:rPr>
                <w:rFonts w:ascii="Garamond" w:hAnsi="Garamond"/>
                <w:b/>
                <w:color w:val="000000"/>
                <w:sz w:val="22"/>
                <w:szCs w:val="22"/>
              </w:rPr>
            </w:pPr>
            <w:r w:rsidRPr="00283E81">
              <w:rPr>
                <w:rFonts w:ascii="Garamond" w:hAnsi="Garamond"/>
                <w:b/>
                <w:color w:val="000000"/>
                <w:sz w:val="22"/>
                <w:szCs w:val="22"/>
              </w:rPr>
              <w:t>PERSONAL</w:t>
            </w:r>
          </w:p>
        </w:tc>
        <w:tc>
          <w:tcPr>
            <w:tcW w:w="6982" w:type="dxa"/>
          </w:tcPr>
          <w:p w14:paraId="4003AF30" w14:textId="77777777" w:rsidR="00E12C5A" w:rsidRPr="00283E81" w:rsidRDefault="00E12C5A" w:rsidP="00A111D3">
            <w:pPr>
              <w:pBdr>
                <w:top w:val="nil"/>
                <w:left w:val="nil"/>
                <w:bottom w:val="nil"/>
                <w:right w:val="nil"/>
                <w:between w:val="nil"/>
              </w:pBdr>
              <w:spacing w:before="96"/>
              <w:ind w:left="284" w:right="116"/>
              <w:jc w:val="both"/>
              <w:rPr>
                <w:rFonts w:ascii="Garamond" w:hAnsi="Garamond"/>
                <w:b/>
                <w:color w:val="000000"/>
                <w:sz w:val="22"/>
                <w:szCs w:val="22"/>
              </w:rPr>
            </w:pPr>
            <w:r w:rsidRPr="00283E81">
              <w:rPr>
                <w:rFonts w:ascii="Garamond" w:hAnsi="Garamond"/>
                <w:b/>
                <w:color w:val="000000"/>
                <w:sz w:val="22"/>
                <w:szCs w:val="22"/>
              </w:rPr>
              <w:t>REQUISITOS MINIMOS – PERSONAL</w:t>
            </w:r>
          </w:p>
        </w:tc>
      </w:tr>
      <w:tr w:rsidR="00E12C5A" w:rsidRPr="00283E81" w14:paraId="5DFB98FE" w14:textId="77777777" w:rsidTr="44744DA9">
        <w:trPr>
          <w:trHeight w:val="2463"/>
        </w:trPr>
        <w:tc>
          <w:tcPr>
            <w:tcW w:w="2828" w:type="dxa"/>
          </w:tcPr>
          <w:p w14:paraId="74CB95F9"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41457209"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2034916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1BBBA105" w14:textId="110098E0" w:rsidR="00E12C5A" w:rsidRPr="00283E81" w:rsidRDefault="00E12C5A" w:rsidP="44744DA9">
            <w:pPr>
              <w:pBdr>
                <w:top w:val="nil"/>
                <w:left w:val="nil"/>
                <w:bottom w:val="nil"/>
                <w:right w:val="nil"/>
                <w:between w:val="nil"/>
              </w:pBdr>
              <w:spacing w:before="175"/>
              <w:ind w:left="284" w:right="116"/>
              <w:jc w:val="both"/>
              <w:rPr>
                <w:rFonts w:ascii="Garamond" w:hAnsi="Garamond"/>
                <w:sz w:val="22"/>
                <w:szCs w:val="22"/>
              </w:rPr>
            </w:pPr>
            <w:r w:rsidRPr="00283E81">
              <w:rPr>
                <w:rFonts w:ascii="Garamond" w:hAnsi="Garamond"/>
                <w:sz w:val="22"/>
                <w:szCs w:val="22"/>
              </w:rPr>
              <w:t xml:space="preserve">Director (a) de Obra: Uno (1) Dedicación </w:t>
            </w:r>
            <w:r w:rsidR="16857E23" w:rsidRPr="00283E81">
              <w:rPr>
                <w:rFonts w:ascii="Garamond" w:hAnsi="Garamond"/>
                <w:sz w:val="22"/>
                <w:szCs w:val="22"/>
              </w:rPr>
              <w:t>30</w:t>
            </w:r>
            <w:r w:rsidRPr="00283E81">
              <w:rPr>
                <w:rFonts w:ascii="Garamond" w:hAnsi="Garamond"/>
                <w:sz w:val="22"/>
                <w:szCs w:val="22"/>
              </w:rPr>
              <w:t>%</w:t>
            </w:r>
          </w:p>
        </w:tc>
        <w:tc>
          <w:tcPr>
            <w:tcW w:w="6982" w:type="dxa"/>
          </w:tcPr>
          <w:p w14:paraId="081D0CE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Profesional en Ingeniería Civil con posgrado en gerencia de proyectos de construcción o gerencia de proyectos de ingeniería o gerencia de proyectos en arquitectura o en gerencia y control de la construcción o en gerencia de proyectos de obras públicas o ingeniería de la construcción o en construcción o en gerencia integral de proyectos o gerencia de proyectos. Para los posgrados en gerencia integral de proyectos o gerencia de proyectos atrás enunciados los mismos de- ben estar dentro de los núcleos básicos del conocimiento de ingenie- ría civil o arquitectura según el </w:t>
            </w:r>
            <w:proofErr w:type="spellStart"/>
            <w:r w:rsidRPr="00283E81">
              <w:rPr>
                <w:rFonts w:ascii="Garamond" w:hAnsi="Garamond"/>
                <w:color w:val="000000"/>
                <w:sz w:val="22"/>
                <w:szCs w:val="22"/>
              </w:rPr>
              <w:t>SNIES</w:t>
            </w:r>
            <w:proofErr w:type="spellEnd"/>
            <w:r w:rsidRPr="00283E81">
              <w:rPr>
                <w:rFonts w:ascii="Garamond" w:hAnsi="Garamond"/>
                <w:color w:val="000000"/>
                <w:sz w:val="22"/>
                <w:szCs w:val="22"/>
              </w:rPr>
              <w:t xml:space="preserve"> </w:t>
            </w:r>
            <w:hyperlink r:id="rId15">
              <w:r w:rsidRPr="00283E81">
                <w:rPr>
                  <w:rFonts w:ascii="Garamond" w:hAnsi="Garamond"/>
                  <w:color w:val="000080"/>
                  <w:sz w:val="22"/>
                  <w:szCs w:val="22"/>
                  <w:u w:val="single"/>
                </w:rPr>
                <w:t>https://snies.mineduca-</w:t>
              </w:r>
            </w:hyperlink>
            <w:r w:rsidRPr="00283E81">
              <w:rPr>
                <w:rFonts w:ascii="Garamond" w:hAnsi="Garamond"/>
                <w:color w:val="000080"/>
                <w:sz w:val="22"/>
                <w:szCs w:val="22"/>
              </w:rPr>
              <w:t xml:space="preserve"> </w:t>
            </w:r>
            <w:hyperlink r:id="rId16">
              <w:r w:rsidRPr="00283E81">
                <w:rPr>
                  <w:rFonts w:ascii="Garamond" w:hAnsi="Garamond"/>
                  <w:color w:val="000080"/>
                  <w:sz w:val="22"/>
                  <w:szCs w:val="22"/>
                  <w:u w:val="single"/>
                </w:rPr>
                <w:t>cion.gov.co/</w:t>
              </w:r>
              <w:proofErr w:type="spellStart"/>
              <w:r w:rsidRPr="00283E81">
                <w:rPr>
                  <w:rFonts w:ascii="Garamond" w:hAnsi="Garamond"/>
                  <w:color w:val="000080"/>
                  <w:sz w:val="22"/>
                  <w:szCs w:val="22"/>
                  <w:u w:val="single"/>
                </w:rPr>
                <w:t>consultasnies</w:t>
              </w:r>
              <w:proofErr w:type="spellEnd"/>
              <w:r w:rsidRPr="00283E81">
                <w:rPr>
                  <w:rFonts w:ascii="Garamond" w:hAnsi="Garamond"/>
                  <w:color w:val="000080"/>
                  <w:sz w:val="22"/>
                  <w:szCs w:val="22"/>
                  <w:u w:val="single"/>
                </w:rPr>
                <w:t>/programa</w:t>
              </w:r>
            </w:hyperlink>
            <w:r w:rsidRPr="00283E81">
              <w:rPr>
                <w:rFonts w:ascii="Garamond" w:hAnsi="Garamond"/>
                <w:color w:val="000080"/>
                <w:sz w:val="22"/>
                <w:szCs w:val="22"/>
                <w:u w:val="single"/>
              </w:rPr>
              <w:t xml:space="preserve"> </w:t>
            </w:r>
            <w:hyperlink r:id="rId17">
              <w:r w:rsidRPr="00283E81">
                <w:rPr>
                  <w:rFonts w:ascii="Garamond" w:hAnsi="Garamond"/>
                  <w:color w:val="000080"/>
                  <w:sz w:val="22"/>
                  <w:szCs w:val="22"/>
                  <w:u w:val="single"/>
                </w:rPr>
                <w:t>#.</w:t>
              </w:r>
            </w:hyperlink>
          </w:p>
          <w:p w14:paraId="5D854D84" w14:textId="77777777" w:rsidR="00E12C5A" w:rsidRPr="00283E81" w:rsidRDefault="00E12C5A" w:rsidP="00A111D3">
            <w:pPr>
              <w:pBdr>
                <w:top w:val="nil"/>
                <w:left w:val="nil"/>
                <w:bottom w:val="nil"/>
                <w:right w:val="nil"/>
                <w:between w:val="nil"/>
              </w:pBdr>
              <w:spacing w:line="235" w:lineRule="auto"/>
              <w:ind w:left="284" w:right="116"/>
              <w:jc w:val="both"/>
              <w:rPr>
                <w:rFonts w:ascii="Garamond" w:hAnsi="Garamond"/>
                <w:color w:val="000000"/>
                <w:sz w:val="22"/>
                <w:szCs w:val="22"/>
                <w:highlight w:val="red"/>
              </w:rPr>
            </w:pPr>
            <w:r w:rsidRPr="00283E81">
              <w:rPr>
                <w:rFonts w:ascii="Garamond" w:hAnsi="Garamond"/>
                <w:sz w:val="22"/>
                <w:szCs w:val="22"/>
              </w:rPr>
              <w:t>Experiencia profesional general certificada no menor a diez (10) años, contada a partir de la terminación y aprobación del pensum académico de educación superior de los cuales debe tener como mínimo dos (2) años de experiencia específica certificada como director y/o coordinador de proyectos de: construcción, reparación o mantenimiento de edificaciones publicas</w:t>
            </w:r>
          </w:p>
        </w:tc>
      </w:tr>
      <w:tr w:rsidR="00E12C5A" w:rsidRPr="00283E81" w14:paraId="6CAF125C" w14:textId="77777777" w:rsidTr="44744DA9">
        <w:trPr>
          <w:trHeight w:val="2553"/>
        </w:trPr>
        <w:tc>
          <w:tcPr>
            <w:tcW w:w="2828" w:type="dxa"/>
          </w:tcPr>
          <w:p w14:paraId="1829328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7F8407E2" w14:textId="0FB6E3FD"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Ingeniero (a)  Hidrosanitario especialista en Hidrosanitario: Uno (1)</w:t>
            </w:r>
          </w:p>
          <w:p w14:paraId="072F54B4" w14:textId="7C9374C3" w:rsidR="00E12C5A" w:rsidRPr="00283E81" w:rsidRDefault="00E12C5A" w:rsidP="44744DA9">
            <w:pPr>
              <w:pBdr>
                <w:top w:val="nil"/>
                <w:left w:val="nil"/>
                <w:bottom w:val="nil"/>
                <w:right w:val="nil"/>
                <w:between w:val="nil"/>
              </w:pBdr>
              <w:ind w:left="284" w:right="116"/>
              <w:jc w:val="both"/>
              <w:rPr>
                <w:rFonts w:ascii="Garamond" w:hAnsi="Garamond"/>
                <w:sz w:val="22"/>
                <w:szCs w:val="22"/>
              </w:rPr>
            </w:pPr>
            <w:r w:rsidRPr="00283E81">
              <w:rPr>
                <w:rFonts w:ascii="Garamond" w:hAnsi="Garamond"/>
                <w:sz w:val="22"/>
                <w:szCs w:val="22"/>
              </w:rPr>
              <w:t xml:space="preserve">Dedicación </w:t>
            </w:r>
            <w:r w:rsidR="619BED65" w:rsidRPr="00283E81">
              <w:rPr>
                <w:rFonts w:ascii="Garamond" w:hAnsi="Garamond"/>
                <w:sz w:val="22"/>
                <w:szCs w:val="22"/>
              </w:rPr>
              <w:t>40</w:t>
            </w:r>
            <w:r w:rsidRPr="00283E81">
              <w:rPr>
                <w:rFonts w:ascii="Garamond" w:hAnsi="Garamond"/>
                <w:sz w:val="22"/>
                <w:szCs w:val="22"/>
              </w:rPr>
              <w:t>%</w:t>
            </w:r>
          </w:p>
        </w:tc>
        <w:tc>
          <w:tcPr>
            <w:tcW w:w="6982" w:type="dxa"/>
          </w:tcPr>
          <w:p w14:paraId="3DD12A93"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civil con posgrado o especialidad en redes hidrosanitarias.</w:t>
            </w:r>
          </w:p>
          <w:p w14:paraId="1C5B1130" w14:textId="77777777" w:rsidR="00E12C5A" w:rsidRPr="00283E81" w:rsidRDefault="00E12C5A" w:rsidP="00A111D3">
            <w:pPr>
              <w:pBdr>
                <w:top w:val="nil"/>
                <w:left w:val="nil"/>
                <w:bottom w:val="nil"/>
                <w:right w:val="nil"/>
                <w:between w:val="nil"/>
              </w:pBdr>
              <w:spacing w:before="1" w:line="235" w:lineRule="auto"/>
              <w:ind w:left="284" w:right="116"/>
              <w:jc w:val="both"/>
              <w:rPr>
                <w:rFonts w:ascii="Garamond" w:hAnsi="Garamond"/>
                <w:color w:val="000000"/>
                <w:sz w:val="22"/>
                <w:szCs w:val="22"/>
                <w:highlight w:val="red"/>
              </w:rPr>
            </w:pPr>
            <w:bookmarkStart w:id="29" w:name="_heading=h.6xr95k15uxuz" w:colFirst="0" w:colLast="0"/>
            <w:bookmarkEnd w:id="29"/>
            <w:r w:rsidRPr="00283E81">
              <w:rPr>
                <w:rFonts w:ascii="Garamond" w:hAnsi="Garamond"/>
                <w:sz w:val="22"/>
                <w:szCs w:val="22"/>
              </w:rPr>
              <w:t>Experiencia profesional general certificada no menor a seis (6) años, contada a partir de la terminación y aprobación del pensum académico de educación superior, de los cuales debe tener como mínimo cuatro (4) años de experiencia específica certificada como diseñador o supervisor de diseño y/o coordinador de proyectos hidrosanitarios de: construcción, reparación o mantenimiento de edificaciones publicas</w:t>
            </w:r>
          </w:p>
        </w:tc>
      </w:tr>
      <w:tr w:rsidR="00E12C5A" w:rsidRPr="00283E81" w14:paraId="560EB3D1" w14:textId="77777777" w:rsidTr="44744DA9">
        <w:trPr>
          <w:trHeight w:val="3384"/>
        </w:trPr>
        <w:tc>
          <w:tcPr>
            <w:tcW w:w="2828" w:type="dxa"/>
          </w:tcPr>
          <w:p w14:paraId="13604EE8"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70BFDAF1" w14:textId="0A35A265" w:rsidR="00E12C5A" w:rsidRPr="00283E81" w:rsidRDefault="00E12C5A" w:rsidP="44744DA9">
            <w:pPr>
              <w:pBdr>
                <w:top w:val="nil"/>
                <w:left w:val="nil"/>
                <w:bottom w:val="nil"/>
                <w:right w:val="nil"/>
                <w:between w:val="nil"/>
              </w:pBdr>
              <w:spacing w:line="232" w:lineRule="auto"/>
              <w:ind w:left="284" w:right="116"/>
              <w:jc w:val="both"/>
              <w:rPr>
                <w:rFonts w:ascii="Garamond" w:hAnsi="Garamond"/>
                <w:b/>
                <w:bCs/>
                <w:color w:val="000000"/>
                <w:sz w:val="22"/>
                <w:szCs w:val="22"/>
                <w:highlight w:val="red"/>
              </w:rPr>
            </w:pPr>
            <w:r w:rsidRPr="00283E81">
              <w:rPr>
                <w:rFonts w:ascii="Garamond" w:hAnsi="Garamond"/>
                <w:sz w:val="22"/>
                <w:szCs w:val="22"/>
              </w:rPr>
              <w:t xml:space="preserve">Ingeniero (a) Eléctrico: Uno (1) Dedicación </w:t>
            </w:r>
            <w:r w:rsidR="5A0B8395" w:rsidRPr="00283E81">
              <w:rPr>
                <w:rFonts w:ascii="Garamond" w:hAnsi="Garamond"/>
                <w:sz w:val="22"/>
                <w:szCs w:val="22"/>
              </w:rPr>
              <w:t>40</w:t>
            </w:r>
            <w:r w:rsidRPr="00283E81">
              <w:rPr>
                <w:rFonts w:ascii="Garamond" w:hAnsi="Garamond"/>
                <w:sz w:val="22"/>
                <w:szCs w:val="22"/>
              </w:rPr>
              <w:t>%</w:t>
            </w:r>
          </w:p>
        </w:tc>
        <w:tc>
          <w:tcPr>
            <w:tcW w:w="6982" w:type="dxa"/>
          </w:tcPr>
          <w:p w14:paraId="0B3F466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Eléctrica</w:t>
            </w:r>
          </w:p>
          <w:p w14:paraId="157C211B" w14:textId="77777777" w:rsidR="00E12C5A" w:rsidRPr="00283E81" w:rsidRDefault="00E12C5A" w:rsidP="00A111D3">
            <w:pPr>
              <w:pBdr>
                <w:top w:val="nil"/>
                <w:left w:val="nil"/>
                <w:bottom w:val="nil"/>
                <w:right w:val="nil"/>
                <w:between w:val="nil"/>
              </w:pBdr>
              <w:spacing w:line="235" w:lineRule="auto"/>
              <w:ind w:left="284" w:right="116"/>
              <w:jc w:val="both"/>
              <w:rPr>
                <w:rFonts w:ascii="Garamond" w:hAnsi="Garamond"/>
                <w:color w:val="000000"/>
                <w:sz w:val="22"/>
                <w:szCs w:val="22"/>
                <w:highlight w:val="red"/>
              </w:rPr>
            </w:pPr>
            <w:bookmarkStart w:id="30" w:name="_heading=h.q9jnfqd76g3g" w:colFirst="0" w:colLast="0"/>
            <w:bookmarkEnd w:id="30"/>
            <w:r w:rsidRPr="00283E81">
              <w:rPr>
                <w:rFonts w:ascii="Garamond" w:hAnsi="Garamond"/>
                <w:sz w:val="22"/>
                <w:szCs w:val="22"/>
              </w:rPr>
              <w:t>Experiencia profesional general certificada no menor a SEIS (6) años, contada a partir de la terminación y aprobación del pensum académico de educación superior, de los cuales debe tener como mínimo cuatro (4) años de experiencia específica certificada como diseñador o supervisor de diseño y/o coordinador de proyectos Hidrosanitarios de: construcción, reparación o mantenimiento de edificaciones públicas y/o privadas.</w:t>
            </w:r>
          </w:p>
        </w:tc>
      </w:tr>
      <w:tr w:rsidR="00E12C5A" w:rsidRPr="00283E81" w14:paraId="68C06F29" w14:textId="77777777" w:rsidTr="44744DA9">
        <w:trPr>
          <w:trHeight w:val="3264"/>
        </w:trPr>
        <w:tc>
          <w:tcPr>
            <w:tcW w:w="2828" w:type="dxa"/>
          </w:tcPr>
          <w:p w14:paraId="0D153CCF"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02CA898D" w14:textId="77777777" w:rsidR="00E12C5A" w:rsidRPr="00283E81" w:rsidRDefault="00E12C5A" w:rsidP="00A111D3">
            <w:pPr>
              <w:pBdr>
                <w:top w:val="nil"/>
                <w:left w:val="nil"/>
                <w:bottom w:val="nil"/>
                <w:right w:val="nil"/>
                <w:between w:val="nil"/>
              </w:pBdr>
              <w:spacing w:line="270" w:lineRule="auto"/>
              <w:ind w:left="284" w:right="116"/>
              <w:jc w:val="both"/>
              <w:rPr>
                <w:rFonts w:ascii="Garamond" w:hAnsi="Garamond"/>
                <w:color w:val="000000"/>
                <w:sz w:val="22"/>
                <w:szCs w:val="22"/>
                <w:highlight w:val="red"/>
              </w:rPr>
            </w:pPr>
            <w:r w:rsidRPr="00283E81">
              <w:rPr>
                <w:rFonts w:ascii="Garamond" w:hAnsi="Garamond"/>
                <w:sz w:val="22"/>
                <w:szCs w:val="22"/>
              </w:rPr>
              <w:t>Ingeniero (a) Residente de Obra Dedicación 100%</w:t>
            </w:r>
          </w:p>
        </w:tc>
        <w:tc>
          <w:tcPr>
            <w:tcW w:w="6982" w:type="dxa"/>
          </w:tcPr>
          <w:p w14:paraId="2F0B8A1D"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Civil</w:t>
            </w:r>
          </w:p>
          <w:p w14:paraId="68BE5499" w14:textId="77777777" w:rsidR="00E12C5A" w:rsidRPr="00283E81" w:rsidRDefault="00E12C5A" w:rsidP="00A111D3">
            <w:pPr>
              <w:pBdr>
                <w:top w:val="nil"/>
                <w:left w:val="nil"/>
                <w:bottom w:val="nil"/>
                <w:right w:val="nil"/>
                <w:between w:val="nil"/>
              </w:pBdr>
              <w:spacing w:line="237" w:lineRule="auto"/>
              <w:ind w:left="284" w:right="116"/>
              <w:jc w:val="both"/>
              <w:rPr>
                <w:rFonts w:ascii="Garamond" w:hAnsi="Garamond"/>
                <w:color w:val="000000"/>
                <w:sz w:val="22"/>
                <w:szCs w:val="22"/>
                <w:highlight w:val="red"/>
              </w:rPr>
            </w:pPr>
            <w:bookmarkStart w:id="31" w:name="_heading=h.70q2xlule1vw" w:colFirst="0" w:colLast="0"/>
            <w:bookmarkEnd w:id="31"/>
            <w:r w:rsidRPr="00283E81">
              <w:rPr>
                <w:rFonts w:ascii="Garamond" w:hAnsi="Garamond"/>
                <w:sz w:val="22"/>
                <w:szCs w:val="22"/>
              </w:rPr>
              <w:t>Experiencia profesional general certificada no menor a CINCO (5) años, contada a partir de la terminación y aprobación del pensum académico de educación superior, de los cuales debe tener como mínimo DOS (2) años de experiencia específica certificada como residente de obra en proyectos de construcción, reparación o mantenimiento de edificaciones públicas y/o privadas.</w:t>
            </w:r>
          </w:p>
        </w:tc>
      </w:tr>
    </w:tbl>
    <w:p w14:paraId="39756238" w14:textId="77777777" w:rsidR="00E12C5A" w:rsidRPr="00283E81" w:rsidRDefault="00E12C5A" w:rsidP="00E12C5A">
      <w:pPr>
        <w:widowControl/>
        <w:spacing w:line="232" w:lineRule="auto"/>
        <w:ind w:left="284" w:right="116"/>
        <w:jc w:val="both"/>
        <w:rPr>
          <w:rFonts w:ascii="Garamond" w:hAnsi="Garamond"/>
          <w:sz w:val="22"/>
          <w:szCs w:val="22"/>
        </w:rPr>
      </w:pPr>
    </w:p>
    <w:p w14:paraId="3AAF81AE" w14:textId="32B7A7EC" w:rsidR="0CC143A9" w:rsidRPr="00283E81" w:rsidRDefault="0CC143A9" w:rsidP="0CC143A9">
      <w:pPr>
        <w:widowControl/>
        <w:spacing w:line="232" w:lineRule="auto"/>
        <w:ind w:left="284" w:right="116"/>
        <w:jc w:val="both"/>
        <w:rPr>
          <w:rFonts w:ascii="Garamond" w:hAnsi="Garamond"/>
          <w:sz w:val="22"/>
          <w:szCs w:val="22"/>
        </w:rPr>
      </w:pPr>
    </w:p>
    <w:p w14:paraId="6745CE84" w14:textId="1F0544C6" w:rsidR="00E12C5A" w:rsidRPr="00283E81" w:rsidRDefault="00E12C5A" w:rsidP="00E12C5A">
      <w:pPr>
        <w:widowControl/>
        <w:spacing w:line="232" w:lineRule="auto"/>
        <w:ind w:right="116"/>
        <w:jc w:val="both"/>
        <w:rPr>
          <w:rFonts w:ascii="Garamond" w:hAnsi="Garamond"/>
          <w:sz w:val="22"/>
          <w:szCs w:val="22"/>
        </w:rPr>
      </w:pPr>
    </w:p>
    <w:p w14:paraId="41D4ADC9" w14:textId="0D01EAFD" w:rsidR="0CC143A9" w:rsidRPr="00283E81" w:rsidRDefault="0CC143A9" w:rsidP="0CC143A9">
      <w:pPr>
        <w:widowControl/>
        <w:spacing w:line="232" w:lineRule="auto"/>
        <w:ind w:right="116"/>
        <w:jc w:val="both"/>
        <w:rPr>
          <w:rFonts w:ascii="Garamond" w:hAnsi="Garamond"/>
          <w:sz w:val="22"/>
          <w:szCs w:val="22"/>
        </w:rPr>
      </w:pPr>
    </w:p>
    <w:p w14:paraId="7C10856D" w14:textId="77777777" w:rsidR="00E12C5A" w:rsidRPr="00283E81" w:rsidRDefault="00E12C5A" w:rsidP="006F00A5">
      <w:pPr>
        <w:widowControl/>
        <w:suppressAutoHyphens w:val="0"/>
        <w:autoSpaceDN/>
        <w:ind w:left="284" w:right="116"/>
        <w:jc w:val="both"/>
        <w:textAlignment w:val="auto"/>
        <w:rPr>
          <w:rFonts w:ascii="Garamond" w:hAnsi="Garamond"/>
          <w:b/>
          <w:sz w:val="22"/>
          <w:szCs w:val="22"/>
        </w:rPr>
      </w:pPr>
      <w:bookmarkStart w:id="32" w:name="_heading=h.22ljou9i1g8v" w:colFirst="0" w:colLast="0"/>
      <w:bookmarkEnd w:id="32"/>
      <w:r w:rsidRPr="00283E81">
        <w:rPr>
          <w:rFonts w:ascii="Garamond" w:hAnsi="Garamond"/>
          <w:b/>
          <w:sz w:val="22"/>
          <w:szCs w:val="22"/>
        </w:rPr>
        <w:t>CRITERIOS DE EVALUACIÓN, ASIGNACIÓN DE PUNTAJE Y CRITERIOS DE DESEMPATE</w:t>
      </w:r>
    </w:p>
    <w:p w14:paraId="20DBA0E2" w14:textId="77777777" w:rsidR="00E12C5A" w:rsidRPr="00283E81" w:rsidRDefault="00E12C5A" w:rsidP="00E12C5A">
      <w:pPr>
        <w:widowControl/>
        <w:ind w:left="284" w:right="116"/>
        <w:jc w:val="both"/>
        <w:rPr>
          <w:rFonts w:ascii="Garamond" w:hAnsi="Garamond"/>
          <w:b/>
          <w:sz w:val="22"/>
          <w:szCs w:val="22"/>
        </w:rPr>
      </w:pPr>
    </w:p>
    <w:p w14:paraId="4C96F271" w14:textId="77777777" w:rsidR="00DE1F93" w:rsidRPr="00283E81" w:rsidRDefault="00DE1F93" w:rsidP="00DE1F93">
      <w:pPr>
        <w:tabs>
          <w:tab w:val="left" w:pos="993"/>
        </w:tabs>
        <w:spacing w:after="240"/>
        <w:jc w:val="both"/>
        <w:rPr>
          <w:rFonts w:ascii="Garamond" w:hAnsi="Garamond"/>
          <w:sz w:val="22"/>
          <w:szCs w:val="22"/>
          <w:lang w:val="es-ES"/>
        </w:rPr>
      </w:pPr>
      <w:r w:rsidRPr="00283E81">
        <w:rPr>
          <w:rFonts w:ascii="Garamond" w:eastAsia="Calibri" w:hAnsi="Garamond" w:cs="Arial"/>
          <w:sz w:val="22"/>
          <w:szCs w:val="22"/>
          <w:lang w:val="es-ES"/>
        </w:rPr>
        <w:t>La Entidad calificará las ofertas que hayan cumplido con los requisitos habilitantes con los siguientes puntajes:</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5516"/>
        <w:gridCol w:w="1669"/>
      </w:tblGrid>
      <w:tr w:rsidR="00DE1F93" w:rsidRPr="00283E81" w14:paraId="1880ABFD" w14:textId="77777777" w:rsidTr="00973732">
        <w:trPr>
          <w:trHeight w:val="375"/>
          <w:jc w:val="center"/>
        </w:trPr>
        <w:tc>
          <w:tcPr>
            <w:tcW w:w="5516" w:type="dxa"/>
            <w:tcBorders>
              <w:top w:val="double" w:sz="6" w:space="0" w:color="auto"/>
              <w:left w:val="double" w:sz="6" w:space="0" w:color="auto"/>
              <w:bottom w:val="single" w:sz="8" w:space="0" w:color="auto"/>
              <w:right w:val="single" w:sz="8" w:space="0" w:color="auto"/>
            </w:tcBorders>
            <w:shd w:val="clear" w:color="auto" w:fill="404040" w:themeFill="text1" w:themeFillTint="BF"/>
            <w:vAlign w:val="center"/>
          </w:tcPr>
          <w:p w14:paraId="55DFB6EF" w14:textId="77777777" w:rsidR="00DE1F93" w:rsidRPr="00283E81" w:rsidRDefault="00DE1F93" w:rsidP="00973732">
            <w:pPr>
              <w:spacing w:line="276" w:lineRule="auto"/>
              <w:jc w:val="center"/>
              <w:rPr>
                <w:rFonts w:ascii="Garamond" w:eastAsia="Aptos" w:hAnsi="Garamond" w:cs="Aptos"/>
                <w:color w:val="C4BC96" w:themeColor="background2" w:themeShade="BF"/>
                <w:sz w:val="22"/>
                <w:szCs w:val="22"/>
              </w:rPr>
            </w:pPr>
            <w:r w:rsidRPr="00283E81">
              <w:rPr>
                <w:rFonts w:ascii="Garamond" w:eastAsia="Aptos" w:hAnsi="Garamond" w:cs="Aptos"/>
                <w:b/>
                <w:color w:val="C4BC96" w:themeColor="background2" w:themeShade="BF"/>
                <w:sz w:val="22"/>
                <w:szCs w:val="22"/>
              </w:rPr>
              <w:t>Concepto</w:t>
            </w:r>
            <w:r w:rsidRPr="00283E81">
              <w:rPr>
                <w:rFonts w:ascii="Garamond" w:eastAsia="Aptos" w:hAnsi="Garamond" w:cs="Aptos"/>
                <w:color w:val="C4BC96" w:themeColor="background2" w:themeShade="BF"/>
                <w:sz w:val="22"/>
                <w:szCs w:val="22"/>
              </w:rPr>
              <w:t xml:space="preserve"> </w:t>
            </w:r>
          </w:p>
        </w:tc>
        <w:tc>
          <w:tcPr>
            <w:tcW w:w="1669" w:type="dxa"/>
            <w:tcBorders>
              <w:top w:val="double" w:sz="6" w:space="0" w:color="auto"/>
              <w:left w:val="single" w:sz="8" w:space="0" w:color="auto"/>
              <w:bottom w:val="single" w:sz="8" w:space="0" w:color="auto"/>
              <w:right w:val="double" w:sz="6" w:space="0" w:color="auto"/>
            </w:tcBorders>
            <w:shd w:val="clear" w:color="auto" w:fill="404040" w:themeFill="text1" w:themeFillTint="BF"/>
            <w:vAlign w:val="center"/>
          </w:tcPr>
          <w:p w14:paraId="0279DF85" w14:textId="77777777" w:rsidR="00DE1F93" w:rsidRPr="00283E81" w:rsidRDefault="00DE1F93" w:rsidP="00973732">
            <w:pPr>
              <w:spacing w:line="276" w:lineRule="auto"/>
              <w:jc w:val="center"/>
              <w:rPr>
                <w:rFonts w:ascii="Garamond" w:eastAsia="Aptos" w:hAnsi="Garamond" w:cs="Aptos"/>
                <w:color w:val="C4BC96" w:themeColor="background2" w:themeShade="BF"/>
                <w:sz w:val="22"/>
                <w:szCs w:val="22"/>
              </w:rPr>
            </w:pPr>
            <w:r w:rsidRPr="00283E81">
              <w:rPr>
                <w:rFonts w:ascii="Garamond" w:eastAsia="Aptos" w:hAnsi="Garamond" w:cs="Aptos"/>
                <w:b/>
                <w:color w:val="C4BC96" w:themeColor="background2" w:themeShade="BF"/>
                <w:sz w:val="22"/>
                <w:szCs w:val="22"/>
              </w:rPr>
              <w:t>Puntaje máximo</w:t>
            </w:r>
            <w:r w:rsidRPr="00283E81">
              <w:rPr>
                <w:rFonts w:ascii="Garamond" w:eastAsia="Aptos" w:hAnsi="Garamond" w:cs="Aptos"/>
                <w:color w:val="C4BC96" w:themeColor="background2" w:themeShade="BF"/>
                <w:sz w:val="22"/>
                <w:szCs w:val="22"/>
              </w:rPr>
              <w:t xml:space="preserve"> </w:t>
            </w:r>
          </w:p>
        </w:tc>
      </w:tr>
      <w:tr w:rsidR="00DE1F93" w:rsidRPr="00283E81" w14:paraId="68D09753"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1B52C502"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Oferta económica</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515C9BC4" w14:textId="16D3EEBD"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49,</w:t>
            </w:r>
            <w:r w:rsidR="00A91CC2">
              <w:rPr>
                <w:rFonts w:ascii="Garamond" w:hAnsi="Garamond" w:cs="Arial"/>
                <w:sz w:val="22"/>
                <w:szCs w:val="22"/>
                <w:lang w:val="es" w:eastAsia="es-CO"/>
              </w:rPr>
              <w:t>7</w:t>
            </w:r>
            <w:r w:rsidRPr="00283E81">
              <w:rPr>
                <w:rFonts w:ascii="Garamond" w:hAnsi="Garamond" w:cs="Arial"/>
                <w:sz w:val="22"/>
                <w:szCs w:val="22"/>
                <w:lang w:val="es" w:eastAsia="es-CO"/>
              </w:rPr>
              <w:t>5</w:t>
            </w:r>
            <w:r w:rsidRPr="00283E81">
              <w:rPr>
                <w:rFonts w:ascii="Garamond" w:hAnsi="Garamond" w:cs="Arial"/>
                <w:sz w:val="22"/>
                <w:szCs w:val="22"/>
                <w:lang w:eastAsia="es-CO"/>
              </w:rPr>
              <w:t xml:space="preserve"> </w:t>
            </w:r>
          </w:p>
        </w:tc>
      </w:tr>
      <w:tr w:rsidR="00DE1F93" w:rsidRPr="00283E81" w14:paraId="1269652F"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254A454A"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Factor de calidad</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2D50DE35"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30</w:t>
            </w:r>
            <w:r w:rsidRPr="00283E81">
              <w:rPr>
                <w:rFonts w:ascii="Garamond" w:hAnsi="Garamond" w:cs="Arial"/>
                <w:sz w:val="22"/>
                <w:szCs w:val="22"/>
                <w:lang w:eastAsia="es-CO"/>
              </w:rPr>
              <w:t xml:space="preserve"> </w:t>
            </w:r>
          </w:p>
        </w:tc>
      </w:tr>
      <w:tr w:rsidR="00DE1F93" w:rsidRPr="00283E81" w14:paraId="5CF960FA"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705B6BF3"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Apoyo a la industria nacional</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7E494C19"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eastAsia="es-CO"/>
              </w:rPr>
              <w:t xml:space="preserve">20 </w:t>
            </w:r>
          </w:p>
        </w:tc>
      </w:tr>
      <w:tr w:rsidR="00DE1F93" w:rsidRPr="00283E81" w14:paraId="08764555"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660A476F"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Emprendimientos y empresas de mujeres</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33636DC1"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0,25</w:t>
            </w:r>
            <w:r w:rsidRPr="00283E81">
              <w:rPr>
                <w:rFonts w:ascii="Garamond" w:hAnsi="Garamond" w:cs="Arial"/>
                <w:sz w:val="22"/>
                <w:szCs w:val="22"/>
                <w:lang w:eastAsia="es-CO"/>
              </w:rPr>
              <w:t xml:space="preserve"> </w:t>
            </w:r>
          </w:p>
        </w:tc>
      </w:tr>
      <w:tr w:rsidR="00DE1F93" w:rsidRPr="00283E81" w14:paraId="0393D941" w14:textId="77777777" w:rsidTr="00973732">
        <w:trPr>
          <w:trHeight w:val="285"/>
          <w:jc w:val="center"/>
        </w:trPr>
        <w:tc>
          <w:tcPr>
            <w:tcW w:w="5516" w:type="dxa"/>
            <w:tcBorders>
              <w:top w:val="single" w:sz="8" w:space="0" w:color="auto"/>
              <w:left w:val="double" w:sz="6" w:space="0" w:color="auto"/>
              <w:bottom w:val="double" w:sz="6" w:space="0" w:color="auto"/>
              <w:right w:val="single" w:sz="8" w:space="0" w:color="auto"/>
            </w:tcBorders>
            <w:vAlign w:val="center"/>
          </w:tcPr>
          <w:p w14:paraId="06CC47B5"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Total</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double" w:sz="6" w:space="0" w:color="auto"/>
              <w:right w:val="double" w:sz="6" w:space="0" w:color="auto"/>
            </w:tcBorders>
            <w:vAlign w:val="center"/>
          </w:tcPr>
          <w:p w14:paraId="65E7AAE4"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100</w:t>
            </w:r>
          </w:p>
        </w:tc>
      </w:tr>
    </w:tbl>
    <w:p w14:paraId="2D561040" w14:textId="77777777" w:rsidR="006B0FBD" w:rsidRPr="00283E81" w:rsidRDefault="006B0FBD" w:rsidP="00FC5D65">
      <w:pPr>
        <w:tabs>
          <w:tab w:val="left" w:pos="993"/>
        </w:tabs>
        <w:ind w:right="116"/>
        <w:jc w:val="both"/>
        <w:rPr>
          <w:rFonts w:ascii="Garamond" w:eastAsia="Calibri" w:hAnsi="Garamond" w:cs="Arial"/>
          <w:b/>
          <w:iCs/>
          <w:sz w:val="22"/>
          <w:szCs w:val="22"/>
          <w:lang w:val="es-ES"/>
        </w:rPr>
      </w:pPr>
    </w:p>
    <w:p w14:paraId="7BDEE250" w14:textId="34625156" w:rsidR="006B0FBD" w:rsidRPr="00283E81" w:rsidRDefault="006B0FBD" w:rsidP="00FC5D65">
      <w:pPr>
        <w:tabs>
          <w:tab w:val="left" w:pos="993"/>
        </w:tabs>
        <w:ind w:right="116"/>
        <w:jc w:val="both"/>
        <w:rPr>
          <w:rFonts w:ascii="Garamond" w:eastAsia="Calibri" w:hAnsi="Garamond" w:cs="Arial"/>
          <w:b/>
          <w:iCs/>
          <w:sz w:val="22"/>
          <w:szCs w:val="22"/>
          <w:lang w:val="es-ES"/>
        </w:rPr>
      </w:pPr>
      <w:r w:rsidRPr="00283E81">
        <w:rPr>
          <w:rFonts w:ascii="Garamond" w:eastAsia="Calibri" w:hAnsi="Garamond" w:cs="Arial"/>
          <w:b/>
          <w:iCs/>
          <w:sz w:val="22"/>
          <w:szCs w:val="22"/>
          <w:lang w:val="es-ES"/>
        </w:rPr>
        <w:t>Oferta Económica</w:t>
      </w:r>
    </w:p>
    <w:p w14:paraId="32673C01" w14:textId="77777777" w:rsidR="006B0FBD" w:rsidRPr="00283E81" w:rsidRDefault="006B0FBD" w:rsidP="00FC5D65">
      <w:pPr>
        <w:tabs>
          <w:tab w:val="left" w:pos="993"/>
        </w:tabs>
        <w:ind w:right="116"/>
        <w:jc w:val="both"/>
        <w:rPr>
          <w:rFonts w:ascii="Garamond" w:eastAsia="Calibri" w:hAnsi="Garamond" w:cs="Arial"/>
          <w:bCs/>
          <w:iCs/>
          <w:sz w:val="22"/>
          <w:szCs w:val="22"/>
          <w:lang w:val="es-ES"/>
        </w:rPr>
      </w:pPr>
    </w:p>
    <w:p w14:paraId="04270847" w14:textId="1D164EEF" w:rsidR="00F768D0" w:rsidRPr="00283E81" w:rsidRDefault="00DE1F93" w:rsidP="00FC5D65">
      <w:pPr>
        <w:tabs>
          <w:tab w:val="left" w:pos="993"/>
        </w:tabs>
        <w:ind w:right="116"/>
        <w:jc w:val="both"/>
        <w:rPr>
          <w:rFonts w:ascii="Garamond" w:eastAsia="Calibri" w:hAnsi="Garamond" w:cs="Arial"/>
          <w:bCs/>
          <w:iCs/>
          <w:sz w:val="22"/>
          <w:szCs w:val="22"/>
          <w:lang w:val="es-ES"/>
        </w:rPr>
      </w:pPr>
      <w:r w:rsidRPr="00283E81">
        <w:rPr>
          <w:rFonts w:ascii="Garamond" w:eastAsia="Calibri" w:hAnsi="Garamond" w:cs="Arial"/>
          <w:bCs/>
          <w:iCs/>
          <w:sz w:val="22"/>
          <w:szCs w:val="22"/>
          <w:lang w:val="es-ES"/>
        </w:rPr>
        <w:t>En las convocatorias limitadas a Mipyme el puntaje por este concepto se trasladará al puntaje de oferta económica.</w:t>
      </w:r>
    </w:p>
    <w:p w14:paraId="495B461C" w14:textId="4D9D8540" w:rsidR="00DE1F93" w:rsidRPr="00283E81" w:rsidRDefault="00DE1F93" w:rsidP="0CC143A9">
      <w:pPr>
        <w:tabs>
          <w:tab w:val="left" w:pos="993"/>
        </w:tabs>
        <w:ind w:left="284" w:right="116"/>
        <w:jc w:val="both"/>
        <w:rPr>
          <w:rFonts w:ascii="Garamond" w:eastAsia="Calibri" w:hAnsi="Garamond" w:cs="Arial"/>
          <w:bCs/>
          <w:iCs/>
          <w:sz w:val="22"/>
          <w:szCs w:val="22"/>
          <w:lang w:val="es-ES"/>
        </w:rPr>
      </w:pPr>
    </w:p>
    <w:p w14:paraId="7AB551BF" w14:textId="77777777" w:rsidR="00DE1F93" w:rsidRPr="00283E81" w:rsidRDefault="00DE1F93" w:rsidP="00DE1F93">
      <w:pPr>
        <w:tabs>
          <w:tab w:val="left" w:pos="993"/>
        </w:tabs>
        <w:spacing w:after="240" w:line="276" w:lineRule="auto"/>
        <w:jc w:val="both"/>
        <w:rPr>
          <w:rFonts w:ascii="Garamond" w:eastAsia="Calibri" w:hAnsi="Garamond" w:cs="Arial"/>
          <w:bCs/>
          <w:iCs/>
          <w:sz w:val="22"/>
          <w:szCs w:val="22"/>
        </w:rPr>
      </w:pPr>
      <w:r w:rsidRPr="00283E81">
        <w:rPr>
          <w:rFonts w:ascii="Garamond" w:eastAsia="Calibri" w:hAnsi="Garamond" w:cs="Arial"/>
          <w:bCs/>
          <w:iCs/>
          <w:sz w:val="22"/>
          <w:szCs w:val="22"/>
        </w:rPr>
        <w:t xml:space="preserve">Las Entidades deberán reducir durante la evaluación de las ofertas dos (2) puntos a los Proponentes que se les haya impuesto una o más multas o cláusulas penales durante el último año, contado a partir de la fecha prevista para el cierre del proceso, sin importar la cuantía y sin perjuicio de las demás consecuencias derivadas del incumplimiento. Esta reducción también afectará a los Consorcios y a las Uniones Temporales si alguno de sus integrantes se encuentra en la situación anterior. </w:t>
      </w:r>
    </w:p>
    <w:p w14:paraId="190DF9B6" w14:textId="77777777" w:rsidR="00DE1F93" w:rsidRPr="00283E81" w:rsidRDefault="00DE1F93" w:rsidP="00DE1F93">
      <w:pPr>
        <w:tabs>
          <w:tab w:val="left" w:pos="993"/>
        </w:tabs>
        <w:spacing w:after="240" w:line="276" w:lineRule="auto"/>
        <w:jc w:val="both"/>
        <w:rPr>
          <w:rFonts w:ascii="Garamond" w:eastAsia="Arial,Times New Roman" w:hAnsi="Garamond" w:cs="Arial"/>
          <w:color w:val="FFFFFF" w:themeColor="background1"/>
          <w:sz w:val="22"/>
          <w:szCs w:val="22"/>
          <w:lang w:eastAsia="es-ES"/>
        </w:rPr>
      </w:pPr>
      <w:r w:rsidRPr="00283E81">
        <w:rPr>
          <w:rFonts w:ascii="Garamond" w:eastAsia="Calibri" w:hAnsi="Garamond" w:cs="Arial"/>
          <w:bCs/>
          <w:iCs/>
          <w:sz w:val="22"/>
          <w:szCs w:val="22"/>
        </w:rPr>
        <w:lastRenderedPageBreak/>
        <w:t>La reducción del puntaje antes señalada no se materializará en caso de que los actos administrativos que hayan impuesto las multas sean objeto de control jurisdiccional previstos en la Ley 1437 de 2011 o las normas que la modifiquen, adicionen o sustituyan. Además, se aplicará sin perjuicio de lo dispuesto en el artículo 6 de la Ley 2020 de 2020. Lo anterior de conformidad con el artículo 58 de la Ley 2195 de 2022 y las normas que lo modifiquen, sustituyan, adicionen o reglamenten.</w:t>
      </w:r>
    </w:p>
    <w:p w14:paraId="2F0DC35D" w14:textId="77777777" w:rsidR="00DE1F93" w:rsidRPr="00283E81" w:rsidRDefault="00DE1F93" w:rsidP="0CC143A9">
      <w:pPr>
        <w:tabs>
          <w:tab w:val="left" w:pos="993"/>
        </w:tabs>
        <w:ind w:left="284" w:right="116"/>
        <w:jc w:val="both"/>
        <w:rPr>
          <w:rFonts w:ascii="Garamond" w:hAnsi="Garamond"/>
          <w:sz w:val="22"/>
          <w:szCs w:val="22"/>
        </w:rPr>
      </w:pPr>
    </w:p>
    <w:p w14:paraId="56AB190B"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calificar</w:t>
      </w:r>
      <w:r w:rsidRPr="00283E81">
        <w:rPr>
          <w:rFonts w:ascii="Garamond" w:eastAsia="Arial,Calibri" w:hAnsi="Garamond" w:cs="Arial"/>
          <w:color w:val="000000" w:themeColor="text1"/>
          <w:sz w:val="22"/>
          <w:szCs w:val="22"/>
        </w:rPr>
        <w:t xml:space="preserve"> este factor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tendrá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cuenta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valor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total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indicado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 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 xml:space="preserve">económica o el obtenido de la corrección aritmética. La propuesta económica debe entregarse firmada. </w:t>
      </w:r>
    </w:p>
    <w:p w14:paraId="7CECA3F8" w14:textId="77777777" w:rsidR="00DE1F93" w:rsidRPr="00283E81" w:rsidRDefault="00DE1F93" w:rsidP="00DE1F93">
      <w:pPr>
        <w:spacing w:after="200" w:line="276" w:lineRule="auto"/>
        <w:jc w:val="both"/>
        <w:rPr>
          <w:rFonts w:ascii="Garamond" w:hAnsi="Garamond" w:cs="Arial"/>
          <w:color w:val="000000" w:themeColor="text1"/>
          <w:sz w:val="22"/>
          <w:szCs w:val="22"/>
        </w:rPr>
      </w:pPr>
      <w:bookmarkStart w:id="33" w:name="_Hlk511665019"/>
      <w:r w:rsidRPr="00283E81">
        <w:rPr>
          <w:rFonts w:ascii="Garamond" w:hAnsi="Garamond" w:cs="Arial"/>
          <w:color w:val="000000" w:themeColor="text1"/>
          <w:sz w:val="22"/>
          <w:szCs w:val="22"/>
        </w:rPr>
        <w:t xml:space="preserve">[La Entidad debe configurar el formato de oferta económica que se encuentra en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_Ref508648916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Formulario 1– Formulario de Presupuesto Oficial</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para que sea diligenciado por los Proponentes. </w:t>
      </w:r>
    </w:p>
    <w:p w14:paraId="1D5B4D4B"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 xml:space="preserve">La Entidad debe incluir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_Ref508648916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Formulario 1– Formulario de Presupuesto Oficial</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y la oferta económica en formato Excel. En ningún caso la Entidad podrá incluir causales de rechazo o reglas que diferentes a las establecidas en el presente documento] </w:t>
      </w:r>
    </w:p>
    <w:p w14:paraId="52B0F4CF"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valor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 presentarse en pesos colombianos y contemplar todos 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costos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directos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indirectos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completa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adecuada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ejecución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obra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presente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proceso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riesgos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 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administración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estos.</w:t>
      </w:r>
    </w:p>
    <w:bookmarkEnd w:id="33"/>
    <w:p w14:paraId="69AC9CBD"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lang w:eastAsia="es-CO"/>
        </w:rPr>
        <w:t>Al</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formular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oferta,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el</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Proponente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acepta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que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estarán</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su</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cargo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todos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impuestos,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tasas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contribuciones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establecidos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por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diferentes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autoridades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nacionales,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departamentales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municipales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dentro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mismos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niveles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territoriales,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impuestos,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tasas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contribuciones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establecidos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por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diferentes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autoridades.</w:t>
      </w:r>
    </w:p>
    <w:p w14:paraId="1E05DBF3"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estimativos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técnicos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hagan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Proponentes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presentación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ofertas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tener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cuenta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ejecución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Contrato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regirá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íntegramente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previsto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documentos del proceso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cálculos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incluir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todos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aspectos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requerimientos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necesarios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cumplir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todas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obligaciones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contractuales</w:t>
      </w:r>
      <w:r w:rsidRPr="00283E81">
        <w:rPr>
          <w:rFonts w:ascii="Garamond" w:eastAsia="Arial,Calibri" w:hAnsi="Garamond" w:cs="Arial"/>
          <w:color w:val="000000" w:themeColor="text1"/>
          <w:sz w:val="22"/>
          <w:szCs w:val="22"/>
        </w:rPr>
        <w:t xml:space="preserve"> y</w:t>
      </w:r>
      <w:r w:rsidRPr="00283E81">
        <w:rPr>
          <w:rFonts w:ascii="Garamond" w:hAnsi="Garamond" w:cs="Arial"/>
          <w:color w:val="000000" w:themeColor="text1"/>
          <w:sz w:val="22"/>
          <w:szCs w:val="22"/>
        </w:rPr>
        <w:t xml:space="preserve"> asumir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riesgos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previstos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dichos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documentos.</w:t>
      </w:r>
    </w:p>
    <w:p w14:paraId="61D3B23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[Incluir en el evento en el que el Proceso de Contratación sea por precios unitarios] 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del Proponente hacerlos conocer dentro del plazo establecido en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_Ref508648948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Anexo 2 – Cronograma</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para la presentación de observaciones al proyecto de Pliego de Condiciones para que la Entidad los pueda estudiar.</w:t>
      </w:r>
    </w:p>
    <w:p w14:paraId="1169105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eastAsia="Arial" w:hAnsi="Garamond" w:cs="Arial"/>
          <w:color w:val="000000" w:themeColor="text1"/>
          <w:sz w:val="22"/>
          <w:szCs w:val="22"/>
          <w:lang w:eastAsia="es-ES"/>
        </w:rPr>
        <w:t>[La Entidad en esta sección o en el “Formulario 1 – Formulario del presupuesto oficial” discriminará los impuestos, tasas o contribuciones que aplican al Proceso de Contratación. Los oferentes tendrán en cuenta está información al presentar su oferta]</w:t>
      </w:r>
    </w:p>
    <w:p w14:paraId="06A4DF6E"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4" w:name="_Toc32147366"/>
      <w:bookmarkStart w:id="35" w:name="_Toc206147393"/>
      <w:r w:rsidRPr="00283E81">
        <w:rPr>
          <w:rFonts w:ascii="Garamond" w:eastAsia="Arial" w:hAnsi="Garamond" w:cs="Arial"/>
          <w:b/>
          <w:color w:val="000000" w:themeColor="text1"/>
          <w:sz w:val="22"/>
          <w:szCs w:val="22"/>
          <w:lang w:val="es-CO"/>
        </w:rPr>
        <w:lastRenderedPageBreak/>
        <w:t>AIU</w:t>
      </w:r>
      <w:bookmarkEnd w:id="34"/>
      <w:bookmarkEnd w:id="35"/>
    </w:p>
    <w:p w14:paraId="7E1C422B" w14:textId="77777777" w:rsidR="00DE1F93" w:rsidRPr="00283E81" w:rsidRDefault="00DE1F93" w:rsidP="00DE1F93">
      <w:pPr>
        <w:pStyle w:val="InviasNormal"/>
        <w:spacing w:line="276" w:lineRule="auto"/>
        <w:rPr>
          <w:rFonts w:ascii="Garamond" w:eastAsia="Arial" w:hAnsi="Garamond" w:cs="Arial"/>
          <w:b/>
          <w:color w:val="000000" w:themeColor="text1"/>
          <w:sz w:val="22"/>
          <w:szCs w:val="22"/>
          <w:lang w:val="es-CO"/>
        </w:rPr>
      </w:pPr>
      <w:r w:rsidRPr="00283E81">
        <w:rPr>
          <w:rFonts w:ascii="Garamond" w:hAnsi="Garamond" w:cs="Arial"/>
          <w:color w:val="000000" w:themeColor="text1"/>
          <w:sz w:val="22"/>
          <w:szCs w:val="22"/>
        </w:rPr>
        <w:t xml:space="preserve">[La </w:t>
      </w:r>
      <w:r w:rsidRPr="00283E81">
        <w:rPr>
          <w:rFonts w:ascii="Garamond" w:eastAsia="Arial" w:hAnsi="Garamond" w:cs="Arial"/>
          <w:color w:val="000000" w:themeColor="text1"/>
          <w:sz w:val="22"/>
          <w:szCs w:val="22"/>
          <w:lang w:val="es-CO" w:eastAsia="en-US"/>
        </w:rPr>
        <w:t>sección se debe incluir en el evento en el que el Proceso de Contratación sea por precios unitarios]</w:t>
      </w:r>
    </w:p>
    <w:p w14:paraId="1D236934" w14:textId="77777777" w:rsidR="00DE1F93" w:rsidRPr="00283E81" w:rsidRDefault="00DE1F93" w:rsidP="00DE1F93">
      <w:pPr>
        <w:pStyle w:val="InviasNormal"/>
        <w:spacing w:line="276" w:lineRule="auto"/>
        <w:rPr>
          <w:rFonts w:ascii="Garamond" w:eastAsia="Arial,Calibri" w:hAnsi="Garamond" w:cs="Arial"/>
          <w:color w:val="000000" w:themeColor="text1"/>
          <w:sz w:val="22"/>
          <w:szCs w:val="22"/>
          <w:lang w:val="es-CO" w:eastAsia="en-US"/>
        </w:rPr>
      </w:pPr>
      <w:r w:rsidRPr="00283E81">
        <w:rPr>
          <w:rFonts w:ascii="Garamond" w:eastAsia="Arial" w:hAnsi="Garamond" w:cs="Arial"/>
          <w:color w:val="000000" w:themeColor="text1"/>
          <w:sz w:val="22"/>
          <w:szCs w:val="22"/>
          <w:lang w:val="es-CO" w:eastAsia="en-US"/>
        </w:rPr>
        <w:t>El</w:t>
      </w:r>
      <w:r w:rsidRPr="00283E81">
        <w:rPr>
          <w:rFonts w:ascii="Garamond" w:eastAsia="Arial,Calibri" w:hAnsi="Garamond" w:cs="Arial"/>
          <w:color w:val="000000" w:themeColor="text1"/>
          <w:sz w:val="22"/>
          <w:szCs w:val="22"/>
          <w:lang w:val="es-CO" w:eastAsia="en-US"/>
        </w:rPr>
        <w:t xml:space="preserve"> P</w:t>
      </w:r>
      <w:r w:rsidRPr="00283E81">
        <w:rPr>
          <w:rFonts w:ascii="Garamond" w:eastAsia="Arial" w:hAnsi="Garamond" w:cs="Arial"/>
          <w:color w:val="000000" w:themeColor="text1"/>
          <w:sz w:val="22"/>
          <w:szCs w:val="22"/>
          <w:lang w:val="es-CO" w:eastAsia="en-US"/>
        </w:rPr>
        <w:t>roponente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calcular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un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AIU</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contenga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todos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costos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incurre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organización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constructor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para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poder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desarrollar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administración,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imprevistos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utilidad</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beneficio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económico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pretende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percibir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ejecución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Contrato.</w:t>
      </w:r>
    </w:p>
    <w:p w14:paraId="7287B3D9" w14:textId="77777777" w:rsidR="00DE1F93" w:rsidRPr="00283E81" w:rsidRDefault="00DE1F93" w:rsidP="00DE1F93">
      <w:pPr>
        <w:pStyle w:val="InviasNormal"/>
        <w:spacing w:line="276" w:lineRule="auto"/>
        <w:rPr>
          <w:rFonts w:ascii="Garamond" w:eastAsia="Arial" w:hAnsi="Garamond" w:cs="Arial"/>
          <w:color w:val="000000" w:themeColor="text1"/>
          <w:sz w:val="22"/>
          <w:szCs w:val="22"/>
          <w:lang w:val="es-CO"/>
        </w:rPr>
      </w:pPr>
      <w:r w:rsidRPr="00283E81">
        <w:rPr>
          <w:rFonts w:ascii="Garamond" w:eastAsia="Arial" w:hAnsi="Garamond" w:cs="Arial"/>
          <w:color w:val="000000" w:themeColor="text1"/>
          <w:sz w:val="22"/>
          <w:szCs w:val="22"/>
          <w:lang w:val="es-CO" w:eastAsia="en-US"/>
        </w:rPr>
        <w:t>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valor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AIU</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expresarse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un </w:t>
      </w:r>
      <w:r w:rsidRPr="00283E81">
        <w:rPr>
          <w:rFonts w:ascii="Garamond" w:eastAsia="Arial" w:hAnsi="Garamond" w:cs="Arial"/>
          <w:color w:val="000000" w:themeColor="text1"/>
          <w:sz w:val="22"/>
          <w:szCs w:val="22"/>
          <w:lang w:val="es-CO" w:eastAsia="en-US"/>
        </w:rPr>
        <w:t>porcentaje</w:t>
      </w:r>
      <w:r w:rsidRPr="00283E81">
        <w:rPr>
          <w:rFonts w:ascii="Garamond" w:eastAsia="Arial,Calibri" w:hAnsi="Garamond" w:cs="Arial"/>
          <w:color w:val="000000" w:themeColor="text1"/>
          <w:sz w:val="22"/>
          <w:szCs w:val="22"/>
          <w:lang w:val="es-CO" w:eastAsia="en-US"/>
        </w:rPr>
        <w:t xml:space="preserve"> (%)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deberá</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consignarlo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discriminarlo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propuesta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económica.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rPr>
        <w:t>[</w:t>
      </w:r>
      <w:r w:rsidRPr="00283E81">
        <w:rPr>
          <w:rFonts w:ascii="Garamond" w:eastAsia="Arial" w:hAnsi="Garamond" w:cs="Arial"/>
          <w:color w:val="000000" w:themeColor="text1"/>
          <w:sz w:val="22"/>
          <w:szCs w:val="22"/>
          <w:lang w:val="es-CO" w:eastAsia="en-US"/>
        </w:rPr>
        <w:t xml:space="preserve">La Entidad no podrá exigir al Proponente el desglose del AIU o componentes internos de la administración (A) en la propuesta económica, sino solo la discriminación de su valor en porcentaje (%). </w:t>
      </w:r>
      <w:r w:rsidRPr="00283E81">
        <w:rPr>
          <w:rFonts w:ascii="Garamond" w:eastAsia="Arial" w:hAnsi="Garamond" w:cs="Arial"/>
          <w:color w:val="auto"/>
          <w:sz w:val="22"/>
          <w:szCs w:val="22"/>
          <w:lang w:val="es-CO" w:eastAsia="en-US"/>
        </w:rPr>
        <w:t>Para el Proponente que resulte adjudicatario se podrá solicitar el desglose del A.I.U. ofertado.</w:t>
      </w:r>
      <w:r w:rsidRPr="00283E81">
        <w:rPr>
          <w:rFonts w:ascii="Garamond" w:eastAsia="Arial" w:hAnsi="Garamond" w:cs="Arial"/>
          <w:color w:val="000000" w:themeColor="text1"/>
          <w:sz w:val="22"/>
          <w:szCs w:val="22"/>
          <w:lang w:val="es-CO" w:eastAsia="en-US"/>
        </w:rPr>
        <w:t>]</w:t>
      </w:r>
    </w:p>
    <w:p w14:paraId="5B0B825E" w14:textId="77777777" w:rsidR="00DE1F93" w:rsidRPr="00283E81" w:rsidRDefault="00DE1F93" w:rsidP="00DE1F93">
      <w:pPr>
        <w:pStyle w:val="InviasNormal"/>
        <w:spacing w:line="276" w:lineRule="auto"/>
        <w:rPr>
          <w:rFonts w:ascii="Garamond" w:eastAsia="Arial,Calibri" w:hAnsi="Garamond" w:cs="Arial"/>
          <w:color w:val="000000" w:themeColor="text1"/>
          <w:sz w:val="22"/>
          <w:szCs w:val="22"/>
          <w:lang w:val="es-CO" w:eastAsia="en-US"/>
        </w:rPr>
      </w:pPr>
      <w:r w:rsidRPr="00283E81">
        <w:rPr>
          <w:rFonts w:ascii="Garamond" w:eastAsia="Arial,Calibri" w:hAnsi="Garamond" w:cs="Arial"/>
          <w:color w:val="000000" w:themeColor="text1"/>
          <w:sz w:val="22"/>
          <w:szCs w:val="22"/>
          <w:lang w:val="es-CO" w:eastAsia="en-US"/>
        </w:rPr>
        <w:t xml:space="preserve">Cuando el Proponente exprese el AIU en porcentaje (%) y en pesos, prevalece el valor expresado en porcentaje (%). El porcentaje del A.I.U. que presenten los Proponentes no debe ser superior al porcentaje total del A.I.U establecido en el </w:t>
      </w:r>
      <w:r w:rsidRPr="00283E81">
        <w:rPr>
          <w:rFonts w:ascii="Garamond" w:eastAsia="Arial,Calibri" w:hAnsi="Garamond" w:cs="Arial"/>
          <w:color w:val="000000" w:themeColor="text1"/>
          <w:sz w:val="22"/>
          <w:szCs w:val="22"/>
          <w:lang w:val="es-CO"/>
        </w:rPr>
        <w:fldChar w:fldCharType="begin"/>
      </w:r>
      <w:r w:rsidRPr="00283E81">
        <w:rPr>
          <w:rFonts w:ascii="Garamond" w:eastAsia="Arial,Calibri" w:hAnsi="Garamond" w:cs="Arial"/>
          <w:color w:val="000000" w:themeColor="text1"/>
          <w:sz w:val="22"/>
          <w:szCs w:val="22"/>
          <w:lang w:val="es-CO" w:eastAsia="en-US"/>
        </w:rPr>
        <w:instrText xml:space="preserve"> REF _Ref508648916 \h  \* MERGEFORMAT </w:instrText>
      </w:r>
      <w:r w:rsidRPr="00283E81">
        <w:rPr>
          <w:rFonts w:ascii="Garamond" w:eastAsia="Arial,Calibri" w:hAnsi="Garamond" w:cs="Arial"/>
          <w:color w:val="000000" w:themeColor="text1"/>
          <w:sz w:val="22"/>
          <w:szCs w:val="22"/>
          <w:lang w:val="es-CO"/>
        </w:rPr>
      </w:r>
      <w:r w:rsidRPr="00283E81">
        <w:rPr>
          <w:rFonts w:ascii="Garamond" w:eastAsia="Arial,Calibri" w:hAnsi="Garamond" w:cs="Arial"/>
          <w:color w:val="000000" w:themeColor="text1"/>
          <w:sz w:val="22"/>
          <w:szCs w:val="22"/>
          <w:lang w:val="es-CO"/>
        </w:rPr>
        <w:fldChar w:fldCharType="separate"/>
      </w:r>
      <w:r w:rsidRPr="00283E81">
        <w:rPr>
          <w:rFonts w:ascii="Garamond" w:eastAsia="Arial" w:hAnsi="Garamond" w:cs="Arial"/>
          <w:color w:val="000000" w:themeColor="text1"/>
          <w:sz w:val="22"/>
          <w:szCs w:val="22"/>
          <w:lang w:val="es-CO"/>
        </w:rPr>
        <w:t>Formulario 1– Formulario de Presupuesto Oficial</w:t>
      </w:r>
      <w:r w:rsidRPr="00283E81">
        <w:rPr>
          <w:rFonts w:ascii="Garamond" w:eastAsia="Arial,Calibri" w:hAnsi="Garamond" w:cs="Arial"/>
          <w:color w:val="000000" w:themeColor="text1"/>
          <w:sz w:val="22"/>
          <w:szCs w:val="22"/>
          <w:lang w:val="es-CO"/>
        </w:rPr>
        <w:fldChar w:fldCharType="end"/>
      </w:r>
      <w:r w:rsidRPr="00283E81">
        <w:rPr>
          <w:rFonts w:ascii="Garamond" w:eastAsia="Arial,Calibri" w:hAnsi="Garamond" w:cs="Arial"/>
          <w:color w:val="000000" w:themeColor="text1"/>
          <w:sz w:val="22"/>
          <w:szCs w:val="22"/>
          <w:lang w:val="es-CO" w:eastAsia="en-US"/>
        </w:rPr>
        <w:t xml:space="preserve">. En consecuencia, el Proponente puede configurar libremente el porcentaje individual de la A, de la I y de la U, siempre que la sumatoria de ellos no exceda el porcentaje total definido por la Entidad en el </w:t>
      </w:r>
      <w:r w:rsidRPr="00283E81">
        <w:rPr>
          <w:rFonts w:ascii="Garamond" w:eastAsia="Arial,Calibri" w:hAnsi="Garamond" w:cs="Arial"/>
          <w:color w:val="000000" w:themeColor="text1"/>
          <w:sz w:val="22"/>
          <w:szCs w:val="22"/>
          <w:lang w:val="es-CO"/>
        </w:rPr>
        <w:fldChar w:fldCharType="begin"/>
      </w:r>
      <w:r w:rsidRPr="00283E81">
        <w:rPr>
          <w:rFonts w:ascii="Garamond" w:eastAsia="Arial,Calibri" w:hAnsi="Garamond" w:cs="Arial"/>
          <w:color w:val="000000" w:themeColor="text1"/>
          <w:sz w:val="22"/>
          <w:szCs w:val="22"/>
          <w:lang w:val="es-CO" w:eastAsia="en-US"/>
        </w:rPr>
        <w:instrText xml:space="preserve"> REF _Ref508648916 \h  \* MERGEFORMAT </w:instrText>
      </w:r>
      <w:r w:rsidRPr="00283E81">
        <w:rPr>
          <w:rFonts w:ascii="Garamond" w:eastAsia="Arial,Calibri" w:hAnsi="Garamond" w:cs="Arial"/>
          <w:color w:val="000000" w:themeColor="text1"/>
          <w:sz w:val="22"/>
          <w:szCs w:val="22"/>
          <w:lang w:val="es-CO"/>
        </w:rPr>
      </w:r>
      <w:r w:rsidRPr="00283E81">
        <w:rPr>
          <w:rFonts w:ascii="Garamond" w:eastAsia="Arial,Calibri" w:hAnsi="Garamond" w:cs="Arial"/>
          <w:color w:val="000000" w:themeColor="text1"/>
          <w:sz w:val="22"/>
          <w:szCs w:val="22"/>
          <w:lang w:val="es-CO"/>
        </w:rPr>
        <w:fldChar w:fldCharType="separate"/>
      </w:r>
      <w:r w:rsidRPr="00283E81">
        <w:rPr>
          <w:rFonts w:ascii="Garamond" w:eastAsia="Arial" w:hAnsi="Garamond" w:cs="Arial"/>
          <w:color w:val="000000" w:themeColor="text1"/>
          <w:sz w:val="22"/>
          <w:szCs w:val="22"/>
          <w:lang w:val="es-CO"/>
        </w:rPr>
        <w:t>Formulario 1– Formulario de Presupuesto Oficial</w:t>
      </w:r>
      <w:r w:rsidRPr="00283E81">
        <w:rPr>
          <w:rFonts w:ascii="Garamond" w:eastAsia="Arial,Calibri" w:hAnsi="Garamond" w:cs="Arial"/>
          <w:color w:val="000000" w:themeColor="text1"/>
          <w:sz w:val="22"/>
          <w:szCs w:val="22"/>
          <w:lang w:val="es-CO"/>
        </w:rPr>
        <w:fldChar w:fldCharType="end"/>
      </w:r>
      <w:r w:rsidRPr="00283E81">
        <w:rPr>
          <w:rFonts w:ascii="Garamond" w:eastAsia="Arial,Calibri" w:hAnsi="Garamond" w:cs="Arial"/>
          <w:color w:val="000000" w:themeColor="text1"/>
          <w:sz w:val="22"/>
          <w:szCs w:val="22"/>
          <w:lang w:val="es-CO" w:eastAsia="en-US"/>
        </w:rPr>
        <w:t>.</w:t>
      </w:r>
    </w:p>
    <w:p w14:paraId="639537C6" w14:textId="77777777" w:rsidR="00DE1F93" w:rsidRPr="00283E81" w:rsidRDefault="00DE1F93" w:rsidP="00DE1F93">
      <w:pPr>
        <w:tabs>
          <w:tab w:val="left" w:pos="1860"/>
        </w:tabs>
        <w:spacing w:line="276" w:lineRule="auto"/>
        <w:jc w:val="both"/>
        <w:rPr>
          <w:rFonts w:ascii="Garamond" w:eastAsia="Arial,Calibri" w:hAnsi="Garamond" w:cs="Arial"/>
          <w:color w:val="000000" w:themeColor="text1"/>
          <w:sz w:val="22"/>
          <w:szCs w:val="22"/>
        </w:rPr>
      </w:pPr>
      <w:r w:rsidRPr="00283E81">
        <w:rPr>
          <w:rFonts w:ascii="Garamond" w:eastAsia="Arial"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componentes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internos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administración</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deberán</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ser</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presentados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adjudicatario</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 xml:space="preserve">del presente Proceso de Contratación en la oportunidad establecida en el numeral </w:t>
      </w:r>
      <w:r w:rsidRPr="00283E81">
        <w:rPr>
          <w:rFonts w:ascii="Garamond" w:hAnsi="Garamond" w:cs="Arial"/>
          <w:color w:val="000000" w:themeColor="text1"/>
          <w:sz w:val="22"/>
          <w:szCs w:val="22"/>
          <w:lang w:val="en-US" w:eastAsia="es-ES"/>
        </w:rPr>
        <w:fldChar w:fldCharType="begin"/>
      </w:r>
      <w:r w:rsidRPr="00283E81">
        <w:rPr>
          <w:rFonts w:ascii="Garamond" w:eastAsia="Arial" w:hAnsi="Garamond" w:cs="Arial"/>
          <w:color w:val="000000" w:themeColor="text1"/>
          <w:sz w:val="22"/>
          <w:szCs w:val="22"/>
        </w:rPr>
        <w:instrText xml:space="preserve"> REF _Ref518058128 \r \h </w:instrText>
      </w:r>
      <w:r w:rsidRPr="00283E81">
        <w:rPr>
          <w:rFonts w:ascii="Garamond" w:hAnsi="Garamond" w:cs="Arial"/>
          <w:color w:val="000000" w:themeColor="text1"/>
          <w:sz w:val="22"/>
          <w:szCs w:val="22"/>
          <w:lang w:eastAsia="es-ES"/>
        </w:rPr>
        <w:instrText xml:space="preserve"> \* MERGEFORMAT </w:instrText>
      </w:r>
      <w:r w:rsidRPr="00283E81">
        <w:rPr>
          <w:rFonts w:ascii="Garamond" w:hAnsi="Garamond" w:cs="Arial"/>
          <w:color w:val="000000" w:themeColor="text1"/>
          <w:sz w:val="22"/>
          <w:szCs w:val="22"/>
          <w:lang w:val="en-US" w:eastAsia="es-ES"/>
        </w:rPr>
      </w:r>
      <w:r w:rsidRPr="00283E81">
        <w:rPr>
          <w:rFonts w:ascii="Garamond" w:hAnsi="Garamond" w:cs="Arial"/>
          <w:color w:val="000000" w:themeColor="text1"/>
          <w:sz w:val="22"/>
          <w:szCs w:val="22"/>
          <w:lang w:val="en-US" w:eastAsia="es-ES"/>
        </w:rPr>
        <w:fldChar w:fldCharType="separate"/>
      </w:r>
      <w:r w:rsidRPr="00283E81">
        <w:rPr>
          <w:rFonts w:ascii="Garamond" w:eastAsia="Arial" w:hAnsi="Garamond" w:cs="Arial"/>
          <w:color w:val="000000" w:themeColor="text1"/>
          <w:sz w:val="22"/>
          <w:szCs w:val="22"/>
        </w:rPr>
        <w:t>8.1</w:t>
      </w:r>
      <w:r w:rsidRPr="00283E81">
        <w:rPr>
          <w:rFonts w:ascii="Garamond" w:hAnsi="Garamond" w:cs="Arial"/>
          <w:color w:val="000000" w:themeColor="text1"/>
          <w:sz w:val="22"/>
          <w:szCs w:val="22"/>
          <w:lang w:val="en-US" w:eastAsia="es-ES"/>
        </w:rPr>
        <w:fldChar w:fldCharType="end"/>
      </w:r>
      <w:r w:rsidRPr="00283E81">
        <w:rPr>
          <w:rFonts w:ascii="Garamond" w:eastAsia="Arial" w:hAnsi="Garamond" w:cs="Arial"/>
          <w:color w:val="000000" w:themeColor="text1"/>
          <w:sz w:val="22"/>
          <w:szCs w:val="22"/>
        </w:rPr>
        <w:t>.</w:t>
      </w:r>
      <w:r w:rsidRPr="00283E81">
        <w:rPr>
          <w:rFonts w:ascii="Garamond" w:eastAsia="Arial,Calibri" w:hAnsi="Garamond" w:cs="Arial"/>
          <w:color w:val="000000" w:themeColor="text1"/>
          <w:sz w:val="22"/>
          <w:szCs w:val="22"/>
        </w:rPr>
        <w:t xml:space="preserve"> </w:t>
      </w:r>
    </w:p>
    <w:p w14:paraId="6E8988C9" w14:textId="77777777" w:rsidR="00DE1F93" w:rsidRPr="00283E81" w:rsidRDefault="00DE1F93" w:rsidP="00DE1F93">
      <w:pPr>
        <w:spacing w:line="276" w:lineRule="auto"/>
        <w:jc w:val="both"/>
        <w:rPr>
          <w:rFonts w:ascii="Garamond" w:eastAsia="Arial" w:hAnsi="Garamond" w:cs="Arial"/>
          <w:sz w:val="22"/>
          <w:szCs w:val="22"/>
        </w:rPr>
      </w:pPr>
      <w:r w:rsidRPr="00283E81">
        <w:rPr>
          <w:rFonts w:ascii="Garamond" w:eastAsia="Arial" w:hAnsi="Garamond" w:cs="Arial"/>
          <w:sz w:val="22"/>
          <w:szCs w:val="22"/>
        </w:rPr>
        <w:t>[las Entidades sí están obligadas a presentar el valor estimado del presupuesto oficial y la justificación del mismo, para lo cual deberá informar los factores relevantes y metodología para su determinación. Para los Contratos cuyos valores son determinados por la metodología de precios unitarios, lo usual es discriminar los costos directos –es decir, los que están directamente implicados en la ejecución del objeto – de los costos indirectos -]</w:t>
      </w:r>
    </w:p>
    <w:p w14:paraId="2D516967" w14:textId="77777777" w:rsidR="00DE1F93" w:rsidRPr="00283E81" w:rsidRDefault="00DE1F93" w:rsidP="00DE1F93">
      <w:pPr>
        <w:tabs>
          <w:tab w:val="left" w:pos="1860"/>
        </w:tabs>
        <w:spacing w:line="276" w:lineRule="auto"/>
        <w:jc w:val="both"/>
        <w:rPr>
          <w:rFonts w:ascii="Garamond" w:eastAsia="Arial,Calibri" w:hAnsi="Garamond" w:cs="Arial"/>
          <w:color w:val="000000" w:themeColor="text1"/>
          <w:sz w:val="22"/>
          <w:szCs w:val="22"/>
          <w:lang w:val="es-MX"/>
        </w:rPr>
      </w:pPr>
    </w:p>
    <w:p w14:paraId="27455AED"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6" w:name="_Ref508651008"/>
      <w:bookmarkStart w:id="37" w:name="_Toc32147367"/>
      <w:bookmarkStart w:id="38" w:name="_Toc206147394"/>
      <w:r w:rsidRPr="00283E81">
        <w:rPr>
          <w:rFonts w:ascii="Garamond" w:eastAsia="Arial" w:hAnsi="Garamond" w:cs="Arial"/>
          <w:b/>
          <w:color w:val="000000" w:themeColor="text1"/>
          <w:sz w:val="22"/>
          <w:szCs w:val="22"/>
          <w:lang w:val="es-CO"/>
        </w:rPr>
        <w:t>CORRECCIONES ARITMÉTICAS</w:t>
      </w:r>
      <w:bookmarkEnd w:id="36"/>
      <w:bookmarkEnd w:id="37"/>
      <w:bookmarkEnd w:id="38"/>
    </w:p>
    <w:p w14:paraId="2ABE0D04" w14:textId="77777777" w:rsidR="00DE1F93" w:rsidRPr="00283E81" w:rsidRDefault="00DE1F93" w:rsidP="00DE1F93">
      <w:pPr>
        <w:rPr>
          <w:rFonts w:ascii="Garamond" w:hAnsi="Garamond"/>
          <w:sz w:val="22"/>
          <w:szCs w:val="22"/>
          <w:lang w:val="es-MX"/>
        </w:rPr>
      </w:pPr>
      <w:r w:rsidRPr="00283E81">
        <w:rPr>
          <w:rFonts w:ascii="Garamond" w:hAnsi="Garamond"/>
          <w:sz w:val="22"/>
          <w:szCs w:val="22"/>
          <w:lang w:val="es-MX"/>
        </w:rPr>
        <w:t>Entidad solo efectuará correcciones aritméticas originadas por:</w:t>
      </w:r>
    </w:p>
    <w:p w14:paraId="580620E7" w14:textId="77777777" w:rsidR="00DE1F93" w:rsidRPr="00283E81" w:rsidRDefault="00DE1F93" w:rsidP="003400E2">
      <w:pPr>
        <w:pStyle w:val="Prrafodelista"/>
        <w:numPr>
          <w:ilvl w:val="0"/>
          <w:numId w:val="93"/>
        </w:numPr>
        <w:spacing w:after="160" w:line="259" w:lineRule="auto"/>
        <w:contextualSpacing w:val="0"/>
        <w:rPr>
          <w:rFonts w:ascii="Garamond" w:hAnsi="Garamond" w:cs="Arial"/>
          <w:lang w:val="es-MX"/>
        </w:rPr>
      </w:pPr>
      <w:r w:rsidRPr="00283E81">
        <w:rPr>
          <w:rFonts w:ascii="Garamond" w:hAnsi="Garamond"/>
          <w:lang w:val="es-MX"/>
        </w:rPr>
        <w:t xml:space="preserve">Las </w:t>
      </w:r>
      <w:r w:rsidRPr="00283E81">
        <w:rPr>
          <w:rStyle w:val="normaltextrun"/>
          <w:rFonts w:ascii="Garamond" w:hAnsi="Garamond" w:cs="Arial"/>
          <w:color w:val="000000" w:themeColor="text1"/>
        </w:rPr>
        <w:t>operaciones aritméticas a que haya lugar en la propuesta económica, cuando exista un error que surja de un cálculo meramente aritmético cuando la operación ha sido erróneamente realizada.</w:t>
      </w:r>
      <w:r w:rsidRPr="00283E81">
        <w:rPr>
          <w:rStyle w:val="eop"/>
          <w:rFonts w:ascii="Garamond" w:hAnsi="Garamond" w:cs="Arial"/>
          <w:color w:val="000000" w:themeColor="text1"/>
        </w:rPr>
        <w:t> </w:t>
      </w:r>
    </w:p>
    <w:p w14:paraId="7E291E92" w14:textId="77777777" w:rsidR="00DE1F93" w:rsidRPr="00283E81" w:rsidRDefault="00DE1F93" w:rsidP="003400E2">
      <w:pPr>
        <w:pStyle w:val="Prrafodelista"/>
        <w:numPr>
          <w:ilvl w:val="0"/>
          <w:numId w:val="93"/>
        </w:numPr>
        <w:spacing w:after="160" w:line="259" w:lineRule="auto"/>
        <w:ind w:left="714" w:hanging="357"/>
        <w:contextualSpacing w:val="0"/>
        <w:rPr>
          <w:rFonts w:ascii="Garamond" w:hAnsi="Garamond"/>
          <w:lang w:val="es-MX"/>
        </w:rPr>
      </w:pPr>
      <w:r w:rsidRPr="00283E81">
        <w:rPr>
          <w:rFonts w:ascii="Garamond" w:hAnsi="Garamond" w:cs="Arial"/>
          <w:lang w:val="es-MX"/>
        </w:rPr>
        <w:t xml:space="preserve">El ajuste </w:t>
      </w:r>
      <w:r w:rsidRPr="00283E81">
        <w:rPr>
          <w:rStyle w:val="normaltextrun"/>
          <w:rFonts w:ascii="Garamond" w:hAnsi="Garamond" w:cs="Arial"/>
          <w:color w:val="000000" w:themeColor="text1"/>
        </w:rPr>
        <w:t>ajuste al peso ya sea por exceso o por defecto de los precios unitarios contenidos en la propuesta económica y del valor del IVA, así: cuando la fracción decimal del peso sea igual o superior a punto cinco (0.5) se aproximará por exceso al número entero siguiente del peso y cuando la fracción decimal del peso sea inferior a punto cinco (0.5) se aproximará por defecto al número entero.</w:t>
      </w:r>
      <w:r w:rsidRPr="00283E81">
        <w:rPr>
          <w:rStyle w:val="eop"/>
          <w:rFonts w:ascii="Garamond" w:hAnsi="Garamond" w:cs="Arial"/>
          <w:i/>
          <w:iCs/>
          <w:color w:val="000000" w:themeColor="text1"/>
        </w:rPr>
        <w:t> </w:t>
      </w:r>
    </w:p>
    <w:p w14:paraId="0A86D362" w14:textId="77777777" w:rsidR="00DE1F93" w:rsidRPr="00283E81" w:rsidRDefault="00DE1F93" w:rsidP="00DE1F93">
      <w:pPr>
        <w:spacing w:after="200" w:line="276" w:lineRule="auto"/>
        <w:contextualSpacing/>
        <w:jc w:val="both"/>
        <w:rPr>
          <w:rFonts w:ascii="Garamond" w:eastAsiaTheme="minorEastAsia" w:hAnsi="Garamond" w:cs="Arial"/>
          <w:color w:val="000000" w:themeColor="text1"/>
          <w:sz w:val="22"/>
          <w:szCs w:val="22"/>
        </w:rPr>
      </w:pPr>
      <w:r w:rsidRPr="00283E81">
        <w:rPr>
          <w:rFonts w:ascii="Garamond" w:hAnsi="Garamond"/>
          <w:sz w:val="22"/>
          <w:szCs w:val="22"/>
          <w:lang w:val="es-MX"/>
        </w:rPr>
        <w:t>La Entidad a partir del valor total corregido de las propuestas asignará el puntaje de conformidad con el proceso del numeral 4.1.4.</w:t>
      </w:r>
    </w:p>
    <w:p w14:paraId="71681251"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9" w:name="_Ref531076130"/>
      <w:bookmarkStart w:id="40" w:name="_Toc32147368"/>
      <w:bookmarkStart w:id="41" w:name="_Toc206147395"/>
      <w:r w:rsidRPr="00283E81">
        <w:rPr>
          <w:rFonts w:ascii="Garamond" w:eastAsia="Arial" w:hAnsi="Garamond" w:cs="Arial"/>
          <w:b/>
          <w:color w:val="000000" w:themeColor="text1"/>
          <w:sz w:val="22"/>
          <w:szCs w:val="22"/>
          <w:lang w:val="es-CO"/>
        </w:rPr>
        <w:lastRenderedPageBreak/>
        <w:t>PRECIO ARTIFICIALMENTE BAJO</w:t>
      </w:r>
      <w:bookmarkEnd w:id="39"/>
      <w:bookmarkEnd w:id="40"/>
      <w:bookmarkEnd w:id="41"/>
    </w:p>
    <w:p w14:paraId="4093A4B6"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eastAsia="Arial,Times New Roman" w:hAnsi="Garamond" w:cs="Arial"/>
          <w:sz w:val="22"/>
          <w:szCs w:val="22"/>
          <w:lang w:eastAsia="es-ES"/>
        </w:rPr>
        <w:t xml:space="preserve">En el evento en el que el precio de una oferta </w:t>
      </w:r>
      <w:r w:rsidRPr="00283E81">
        <w:rPr>
          <w:rFonts w:ascii="Garamond" w:hAnsi="Garamond" w:cs="Arial"/>
          <w:sz w:val="22"/>
          <w:szCs w:val="22"/>
        </w:rPr>
        <w:t xml:space="preserve">no parezca suficiente para garantizar una correcta ejecución del Contrato, de acuerdo con la información recogida durante la etapa de planeación y particularmente durante el estudio del sector, la Entidad </w:t>
      </w:r>
      <w:r w:rsidRPr="00283E81">
        <w:rPr>
          <w:rFonts w:ascii="Garamond" w:eastAsia="Arial,Times New Roman" w:hAnsi="Garamond" w:cs="Arial"/>
          <w:sz w:val="22"/>
          <w:szCs w:val="22"/>
          <w:lang w:eastAsia="es-ES"/>
        </w:rPr>
        <w:t xml:space="preserve">aplicará el proceso descrito en el artículo 2.2.1.1.2.2.4. del Decreto 1082 de 2015, además podrá acudir a </w:t>
      </w:r>
      <w:r w:rsidRPr="00283E81">
        <w:rPr>
          <w:rFonts w:ascii="Garamond" w:hAnsi="Garamond" w:cs="Arial"/>
          <w:sz w:val="22"/>
          <w:szCs w:val="22"/>
        </w:rPr>
        <w:t>los parámetros definidos en la Guía para el manejo de ofertas artificialmente bajas en Procesos de Contratación de Colombia Compra Eficiente, como un criterio metodológico</w:t>
      </w:r>
      <w:r w:rsidRPr="00283E81">
        <w:rPr>
          <w:rFonts w:ascii="Garamond" w:hAnsi="Garamond" w:cs="Arial"/>
          <w:color w:val="000000" w:themeColor="text1"/>
          <w:sz w:val="22"/>
          <w:szCs w:val="22"/>
        </w:rPr>
        <w:t>.</w:t>
      </w:r>
    </w:p>
    <w:p w14:paraId="7B22BA8C" w14:textId="77777777" w:rsidR="00DE1F93" w:rsidRPr="00283E81" w:rsidRDefault="00DE1F93" w:rsidP="00DE1F93">
      <w:pPr>
        <w:jc w:val="both"/>
        <w:rPr>
          <w:rFonts w:ascii="Garamond" w:hAnsi="Garamond"/>
          <w:sz w:val="22"/>
          <w:szCs w:val="22"/>
          <w:lang w:val="es-MX"/>
        </w:rPr>
      </w:pPr>
      <w:r w:rsidRPr="00283E81">
        <w:rPr>
          <w:rFonts w:ascii="Garamond" w:hAnsi="Garamond"/>
          <w:b/>
          <w:bCs/>
          <w:sz w:val="22"/>
          <w:szCs w:val="22"/>
          <w:lang w:val="es-MX"/>
        </w:rPr>
        <w:t>Nota 15</w:t>
      </w:r>
      <w:r w:rsidRPr="00283E81">
        <w:rPr>
          <w:rFonts w:ascii="Garamond" w:hAnsi="Garamond"/>
          <w:sz w:val="22"/>
          <w:szCs w:val="22"/>
          <w:lang w:val="es-MX"/>
        </w:rPr>
        <w:t>: La solicitud de justificación de precios artificialmente bajos deberá surtirse una vez la Entidad realice la apertura del sobre económico y con anterioridad a la definición del orden de elegibilidad. Por lo anterior, para la revisión del aspecto económico y definición el orden de elegibilidad, no se considerarán aquellas propuestas que, con posterioridad al análisis realizado, la Entidad defina se configuran como artificialmente bajas, lo anterior, conforme con lo definido en el numeral 1.15. Causales de rechazo literal W.</w:t>
      </w:r>
    </w:p>
    <w:p w14:paraId="7E5B844B"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42" w:name="_Toc192499883"/>
      <w:bookmarkStart w:id="43" w:name="_Toc192854688"/>
      <w:bookmarkStart w:id="44" w:name="_Toc32147369"/>
      <w:bookmarkStart w:id="45" w:name="_Toc206147396"/>
      <w:bookmarkStart w:id="46" w:name="_Hlk511666009"/>
      <w:bookmarkStart w:id="47" w:name="_Hlk514925570"/>
      <w:bookmarkEnd w:id="42"/>
      <w:bookmarkEnd w:id="43"/>
      <w:r w:rsidRPr="00283E81">
        <w:rPr>
          <w:rFonts w:ascii="Garamond" w:eastAsia="Arial" w:hAnsi="Garamond" w:cs="Arial"/>
          <w:b/>
          <w:color w:val="000000" w:themeColor="text1"/>
          <w:sz w:val="22"/>
          <w:szCs w:val="22"/>
          <w:lang w:val="es-CO"/>
        </w:rPr>
        <w:t>DETERMINACIÓN DEL MÉTODO PARA LA PONDERACIÓN DE LA PROPUESTA ECONÓMICA</w:t>
      </w:r>
      <w:bookmarkEnd w:id="44"/>
      <w:bookmarkEnd w:id="45"/>
    </w:p>
    <w:bookmarkEnd w:id="46"/>
    <w:p w14:paraId="17EF1FC5"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Entidad seleccionará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acuerdo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siguientes alternativas:</w:t>
      </w:r>
      <w:r w:rsidRPr="00283E81">
        <w:rPr>
          <w:rFonts w:ascii="Garamond" w:eastAsia="Arial,Calibri" w:hAnsi="Garamond" w:cs="Arial"/>
          <w:color w:val="000000" w:themeColor="text1"/>
          <w:sz w:val="22"/>
          <w:szCs w:val="22"/>
        </w:rPr>
        <w:t xml:space="preserve"> </w:t>
      </w:r>
    </w:p>
    <w:tbl>
      <w:tblPr>
        <w:tblStyle w:val="Tablaconcuadrcula"/>
        <w:tblW w:w="0" w:type="auto"/>
        <w:jc w:val="center"/>
        <w:tblLook w:val="04A0" w:firstRow="1" w:lastRow="0" w:firstColumn="1" w:lastColumn="0" w:noHBand="0" w:noVBand="1"/>
      </w:tblPr>
      <w:tblGrid>
        <w:gridCol w:w="1560"/>
        <w:gridCol w:w="2820"/>
      </w:tblGrid>
      <w:tr w:rsidR="00DE1F93" w:rsidRPr="00283E81" w14:paraId="363084E3" w14:textId="77777777" w:rsidTr="00973732">
        <w:trPr>
          <w:trHeight w:val="20"/>
          <w:tblHeader/>
          <w:jc w:val="center"/>
        </w:trPr>
        <w:tc>
          <w:tcPr>
            <w:tcW w:w="1560"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4BA2790B" w14:textId="77777777" w:rsidR="00DE1F93" w:rsidRPr="00283E81" w:rsidRDefault="00DE1F93" w:rsidP="00973732">
            <w:pPr>
              <w:spacing w:line="276" w:lineRule="auto"/>
              <w:jc w:val="center"/>
              <w:rPr>
                <w:rFonts w:ascii="Garamond" w:hAnsi="Garamond" w:cs="Arial"/>
                <w:b/>
                <w:color w:val="C4BC96" w:themeColor="background2" w:themeShade="BF"/>
                <w:sz w:val="22"/>
                <w:szCs w:val="22"/>
              </w:rPr>
            </w:pPr>
            <w:bookmarkStart w:id="48" w:name="_Hlk511666058"/>
            <w:r w:rsidRPr="00283E81">
              <w:rPr>
                <w:rFonts w:ascii="Garamond" w:hAnsi="Garamond" w:cs="Arial"/>
                <w:b/>
                <w:color w:val="C4BC96" w:themeColor="background2" w:themeShade="BF"/>
                <w:sz w:val="22"/>
                <w:szCs w:val="22"/>
              </w:rPr>
              <w:t>Concepto</w:t>
            </w:r>
          </w:p>
        </w:tc>
        <w:tc>
          <w:tcPr>
            <w:tcW w:w="2820"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330A88D8" w14:textId="77777777" w:rsidR="00DE1F93" w:rsidRPr="00283E81" w:rsidRDefault="00DE1F93" w:rsidP="00973732">
            <w:pPr>
              <w:spacing w:line="276" w:lineRule="auto"/>
              <w:jc w:val="center"/>
              <w:rPr>
                <w:rFonts w:ascii="Garamond" w:hAnsi="Garamond" w:cs="Arial"/>
                <w:b/>
                <w:color w:val="C4BC96" w:themeColor="background2" w:themeShade="BF"/>
                <w:sz w:val="22"/>
                <w:szCs w:val="22"/>
              </w:rPr>
            </w:pPr>
            <w:r w:rsidRPr="00283E81">
              <w:rPr>
                <w:rFonts w:ascii="Garamond" w:hAnsi="Garamond" w:cs="Arial"/>
                <w:b/>
                <w:color w:val="C4BC96" w:themeColor="background2" w:themeShade="BF"/>
                <w:sz w:val="22"/>
                <w:szCs w:val="22"/>
              </w:rPr>
              <w:t>Método</w:t>
            </w:r>
          </w:p>
        </w:tc>
      </w:tr>
      <w:tr w:rsidR="00DE1F93" w:rsidRPr="00283E81" w14:paraId="00606B02"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7E66B7B3"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1</w:t>
            </w:r>
          </w:p>
        </w:tc>
        <w:tc>
          <w:tcPr>
            <w:tcW w:w="2820" w:type="dxa"/>
            <w:tcBorders>
              <w:top w:val="single" w:sz="4" w:space="0" w:color="auto"/>
              <w:left w:val="single" w:sz="4" w:space="0" w:color="auto"/>
              <w:bottom w:val="single" w:sz="4" w:space="0" w:color="auto"/>
              <w:right w:val="double" w:sz="4" w:space="0" w:color="auto"/>
            </w:tcBorders>
            <w:vAlign w:val="center"/>
          </w:tcPr>
          <w:p w14:paraId="45A259EB"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Mediana con valor absoluto</w:t>
            </w:r>
          </w:p>
        </w:tc>
      </w:tr>
      <w:tr w:rsidR="00DE1F93" w:rsidRPr="00283E81" w14:paraId="417F8600"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0DF5EF04"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2</w:t>
            </w:r>
          </w:p>
        </w:tc>
        <w:tc>
          <w:tcPr>
            <w:tcW w:w="2820" w:type="dxa"/>
            <w:tcBorders>
              <w:top w:val="single" w:sz="4" w:space="0" w:color="auto"/>
              <w:left w:val="single" w:sz="4" w:space="0" w:color="auto"/>
              <w:bottom w:val="single" w:sz="4" w:space="0" w:color="auto"/>
              <w:right w:val="double" w:sz="4" w:space="0" w:color="auto"/>
            </w:tcBorders>
            <w:vAlign w:val="center"/>
          </w:tcPr>
          <w:p w14:paraId="2EDF2447"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 geométrica</w:t>
            </w:r>
          </w:p>
        </w:tc>
      </w:tr>
      <w:tr w:rsidR="00DE1F93" w:rsidRPr="00283E81" w14:paraId="63819AC1"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hideMark/>
          </w:tcPr>
          <w:p w14:paraId="5444819E"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3</w:t>
            </w:r>
          </w:p>
        </w:tc>
        <w:tc>
          <w:tcPr>
            <w:tcW w:w="2820" w:type="dxa"/>
            <w:tcBorders>
              <w:top w:val="single" w:sz="4" w:space="0" w:color="auto"/>
              <w:left w:val="single" w:sz="4" w:space="0" w:color="auto"/>
              <w:bottom w:val="single" w:sz="4" w:space="0" w:color="auto"/>
              <w:right w:val="double" w:sz="4" w:space="0" w:color="auto"/>
            </w:tcBorders>
            <w:vAlign w:val="center"/>
            <w:hideMark/>
          </w:tcPr>
          <w:p w14:paraId="632D7F82"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 aritmética baja</w:t>
            </w:r>
          </w:p>
        </w:tc>
      </w:tr>
      <w:tr w:rsidR="00DE1F93" w:rsidRPr="00283E81" w14:paraId="2689E9D1" w14:textId="77777777" w:rsidTr="00973732">
        <w:trPr>
          <w:trHeight w:val="20"/>
          <w:jc w:val="center"/>
        </w:trPr>
        <w:tc>
          <w:tcPr>
            <w:tcW w:w="1560" w:type="dxa"/>
            <w:tcBorders>
              <w:top w:val="single" w:sz="4" w:space="0" w:color="auto"/>
              <w:left w:val="double" w:sz="4" w:space="0" w:color="auto"/>
              <w:bottom w:val="double" w:sz="4" w:space="0" w:color="auto"/>
              <w:right w:val="single" w:sz="4" w:space="0" w:color="auto"/>
            </w:tcBorders>
            <w:vAlign w:val="center"/>
            <w:hideMark/>
          </w:tcPr>
          <w:p w14:paraId="7E1AD9F7"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4</w:t>
            </w:r>
          </w:p>
        </w:tc>
        <w:tc>
          <w:tcPr>
            <w:tcW w:w="2820" w:type="dxa"/>
            <w:tcBorders>
              <w:top w:val="single" w:sz="4" w:space="0" w:color="auto"/>
              <w:left w:val="single" w:sz="4" w:space="0" w:color="auto"/>
              <w:bottom w:val="double" w:sz="4" w:space="0" w:color="auto"/>
              <w:right w:val="double" w:sz="4" w:space="0" w:color="auto"/>
            </w:tcBorders>
            <w:vAlign w:val="center"/>
            <w:hideMark/>
          </w:tcPr>
          <w:p w14:paraId="6728E299"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Menor Valor</w:t>
            </w:r>
          </w:p>
        </w:tc>
        <w:bookmarkEnd w:id="48"/>
      </w:tr>
    </w:tbl>
    <w:p w14:paraId="13DBAF6D"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p>
    <w:p w14:paraId="6DE59A6C"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bookmarkStart w:id="49" w:name="_Hlk511666073"/>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determinar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Entidad tomará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 centavos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Tasa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Cambio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Representativa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Mercado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TRM), certificada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 Superintendencia Financiera de Colombia (en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sitio web: https://www.superfinanciera.gov.co/publicacion/60819).</w:t>
      </w:r>
    </w:p>
    <w:p w14:paraId="1C62196C"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 TRM que la Entidad utilizará para determinar el método de ponderación será la que </w:t>
      </w:r>
      <w:r w:rsidRPr="00283E81">
        <w:rPr>
          <w:rFonts w:ascii="Garamond" w:hAnsi="Garamond" w:cs="Arial"/>
          <w:i/>
          <w:color w:val="000000" w:themeColor="text1"/>
          <w:sz w:val="22"/>
          <w:szCs w:val="22"/>
        </w:rPr>
        <w:t>rija el segundo día hábil después de finalizado el periodo de traslado del informe de evaluación</w:t>
      </w:r>
      <w:r w:rsidRPr="00283E81">
        <w:rPr>
          <w:rFonts w:ascii="Garamond" w:hAnsi="Garamond" w:cs="Arial"/>
          <w:color w:val="000000" w:themeColor="text1"/>
          <w:sz w:val="22"/>
          <w:szCs w:val="22"/>
        </w:rPr>
        <w:t xml:space="preserve">. Esto es, la que la Superintendencia publique en horas de la tarde del día hábil siguiente a la fecha efectiva de </w:t>
      </w:r>
      <w:r w:rsidRPr="00283E81">
        <w:rPr>
          <w:rFonts w:ascii="Garamond" w:hAnsi="Garamond" w:cs="Arial"/>
          <w:i/>
          <w:color w:val="000000" w:themeColor="text1"/>
          <w:sz w:val="22"/>
          <w:szCs w:val="22"/>
        </w:rPr>
        <w:t>finalizado el periodo de traslado del informe de evaluación</w:t>
      </w:r>
      <w:r w:rsidRPr="00283E81">
        <w:rPr>
          <w:rFonts w:ascii="Garamond" w:hAnsi="Garamond" w:cs="Arial"/>
          <w:sz w:val="22"/>
          <w:szCs w:val="22"/>
        </w:rPr>
        <w:t>.</w:t>
      </w:r>
      <w:r w:rsidRPr="00283E81">
        <w:rPr>
          <w:rFonts w:ascii="Garamond" w:hAnsi="Garamond" w:cs="Arial"/>
          <w:color w:val="000000" w:themeColor="text1"/>
          <w:sz w:val="22"/>
          <w:szCs w:val="22"/>
        </w:rPr>
        <w:t xml:space="preserve"> [Por ejemplo, </w:t>
      </w:r>
      <w:r w:rsidRPr="00283E81">
        <w:rPr>
          <w:rFonts w:ascii="Garamond" w:hAnsi="Garamond" w:cs="Arial"/>
          <w:sz w:val="22"/>
          <w:szCs w:val="22"/>
        </w:rPr>
        <w:t xml:space="preserve">si el </w:t>
      </w:r>
      <w:r w:rsidRPr="00283E81">
        <w:rPr>
          <w:rFonts w:ascii="Garamond" w:hAnsi="Garamond" w:cs="Arial"/>
          <w:color w:val="000000" w:themeColor="text1"/>
          <w:sz w:val="22"/>
          <w:szCs w:val="22"/>
        </w:rPr>
        <w:t>término de traslado del informe de evaluación finaliza</w:t>
      </w:r>
      <w:r w:rsidRPr="00283E81" w:rsidDel="000B227F">
        <w:rPr>
          <w:rFonts w:ascii="Garamond" w:hAnsi="Garamond" w:cs="Arial"/>
          <w:color w:val="000000" w:themeColor="text1"/>
          <w:sz w:val="22"/>
          <w:szCs w:val="22"/>
        </w:rPr>
        <w:t xml:space="preserve"> </w:t>
      </w:r>
      <w:r w:rsidRPr="00283E81">
        <w:rPr>
          <w:rFonts w:ascii="Garamond" w:hAnsi="Garamond" w:cs="Arial"/>
          <w:color w:val="000000" w:themeColor="text1"/>
          <w:sz w:val="22"/>
          <w:szCs w:val="22"/>
        </w:rPr>
        <w:t xml:space="preserve">el 10 de febrero, la TRM que se usará para determinar el método de evaluación será la del 12 de febrero, que se publica en la tarde del 11 de febrero] </w:t>
      </w:r>
    </w:p>
    <w:p w14:paraId="7A760532" w14:textId="77777777" w:rsidR="00DE1F93" w:rsidRPr="00283E81" w:rsidRDefault="00DE1F93" w:rsidP="00DE1F93">
      <w:pPr>
        <w:spacing w:before="210" w:after="210"/>
        <w:jc w:val="both"/>
        <w:rPr>
          <w:rFonts w:ascii="Garamond" w:eastAsia="BlinkMacSystemFont" w:hAnsi="Garamond" w:cs="Arial"/>
          <w:i/>
          <w:iCs/>
          <w:sz w:val="22"/>
          <w:szCs w:val="22"/>
          <w:u w:val="single"/>
        </w:rPr>
      </w:pPr>
      <w:r w:rsidRPr="00283E81">
        <w:rPr>
          <w:rFonts w:ascii="Garamond" w:eastAsia="BlinkMacSystemFont" w:hAnsi="Garamond" w:cs="Arial"/>
          <w:sz w:val="22"/>
          <w:szCs w:val="22"/>
        </w:rPr>
        <w:t xml:space="preserve">En el evento excepcional establecido en el numeral 1.6, cuando la Entidad no hubiese advertido durante el proceso de evaluación la ausencia de requisitos o la falta de documentos referentes a la futura contratación o al Proponente, ya sea en relación con los requisitos habilitantes o para aclarar aspectos que otorgan puntaje o relativos a los factores de desempate, y por ende, deba requerir a algún Proponente, </w:t>
      </w:r>
      <w:r w:rsidRPr="00283E81">
        <w:rPr>
          <w:rFonts w:ascii="Garamond" w:eastAsia="BlinkMacSystemFont" w:hAnsi="Garamond" w:cs="Arial"/>
          <w:sz w:val="22"/>
          <w:szCs w:val="22"/>
          <w:u w:val="single"/>
        </w:rPr>
        <w:t xml:space="preserve">la TRM que la Entidad </w:t>
      </w:r>
      <w:r w:rsidRPr="00283E81">
        <w:rPr>
          <w:rFonts w:ascii="Garamond" w:eastAsia="BlinkMacSystemFont" w:hAnsi="Garamond" w:cs="Arial"/>
          <w:sz w:val="22"/>
          <w:szCs w:val="22"/>
          <w:u w:val="single"/>
        </w:rPr>
        <w:lastRenderedPageBreak/>
        <w:t xml:space="preserve">utilizará para determinar el método de ponderación será la que rija el </w:t>
      </w:r>
      <w:r w:rsidRPr="00283E81">
        <w:rPr>
          <w:rFonts w:ascii="Garamond" w:eastAsia="BlinkMacSystemFont" w:hAnsi="Garamond" w:cs="Arial"/>
          <w:i/>
          <w:iCs/>
          <w:sz w:val="22"/>
          <w:szCs w:val="22"/>
          <w:u w:val="single"/>
        </w:rPr>
        <w:t>segundo día hábil después de finalizado el periodo concedido al Proponente requerido para allegar la subsanación y/o aclaración solicitada</w:t>
      </w:r>
      <w:r w:rsidRPr="00283E81">
        <w:rPr>
          <w:rFonts w:ascii="Garamond" w:eastAsia="BlinkMacSystemFont" w:hAnsi="Garamond" w:cs="Arial"/>
          <w:sz w:val="22"/>
          <w:szCs w:val="22"/>
          <w:u w:val="single"/>
        </w:rPr>
        <w:t>.</w:t>
      </w:r>
      <w:r w:rsidRPr="00283E81">
        <w:rPr>
          <w:rFonts w:ascii="Garamond" w:eastAsia="BlinkMacSystemFont" w:hAnsi="Garamond" w:cs="Arial"/>
          <w:i/>
          <w:iCs/>
          <w:sz w:val="22"/>
          <w:szCs w:val="22"/>
          <w:u w:val="single"/>
        </w:rPr>
        <w:t xml:space="preserve"> </w:t>
      </w:r>
    </w:p>
    <w:p w14:paraId="7CA1DD3D"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determinará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acuerdo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rangos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siguiente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cuadro:</w:t>
      </w:r>
      <w:r w:rsidRPr="00283E81">
        <w:rPr>
          <w:rFonts w:ascii="Garamond" w:eastAsia="Arial,Calibri" w:hAnsi="Garamond" w:cs="Arial"/>
          <w:color w:val="000000" w:themeColor="text1"/>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12"/>
        <w:gridCol w:w="1005"/>
        <w:gridCol w:w="2503"/>
      </w:tblGrid>
      <w:tr w:rsidR="00DE1F93" w:rsidRPr="00283E81" w14:paraId="288FB77E" w14:textId="77777777" w:rsidTr="00973732">
        <w:trPr>
          <w:trHeight w:val="20"/>
          <w:tblHeader/>
          <w:jc w:val="center"/>
        </w:trPr>
        <w:tc>
          <w:tcPr>
            <w:tcW w:w="1712" w:type="dxa"/>
            <w:tcBorders>
              <w:top w:val="double" w:sz="4" w:space="0" w:color="auto"/>
              <w:left w:val="double" w:sz="4" w:space="0" w:color="auto"/>
              <w:bottom w:val="single" w:sz="4" w:space="0" w:color="auto"/>
              <w:right w:val="single" w:sz="4" w:space="0" w:color="auto"/>
            </w:tcBorders>
            <w:shd w:val="clear" w:color="auto" w:fill="262626" w:themeFill="text1" w:themeFillTint="D9"/>
            <w:vAlign w:val="center"/>
            <w:hideMark/>
          </w:tcPr>
          <w:p w14:paraId="68B16664"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Rango</w:t>
            </w:r>
            <w:r w:rsidRPr="00283E81">
              <w:rPr>
                <w:rFonts w:ascii="Garamond" w:eastAsia="Arial,Calibri" w:hAnsi="Garamond" w:cs="Arial"/>
                <w:b/>
                <w:color w:val="C4BC96" w:themeColor="background2" w:themeShade="BF"/>
                <w:sz w:val="22"/>
                <w:szCs w:val="22"/>
              </w:rPr>
              <w:t xml:space="preserve"> </w:t>
            </w:r>
            <w:r w:rsidRPr="00283E81">
              <w:rPr>
                <w:rFonts w:ascii="Garamond" w:hAnsi="Garamond" w:cs="Arial"/>
                <w:b/>
                <w:color w:val="C4BC96" w:themeColor="background2" w:themeShade="BF"/>
                <w:sz w:val="22"/>
                <w:szCs w:val="22"/>
              </w:rPr>
              <w:t>(inclusive)</w:t>
            </w:r>
          </w:p>
        </w:tc>
        <w:tc>
          <w:tcPr>
            <w:tcW w:w="972" w:type="dxa"/>
            <w:tcBorders>
              <w:top w:val="double" w:sz="4" w:space="0" w:color="auto"/>
              <w:left w:val="single" w:sz="4" w:space="0" w:color="auto"/>
              <w:bottom w:val="single" w:sz="4" w:space="0" w:color="auto"/>
              <w:right w:val="single" w:sz="4" w:space="0" w:color="auto"/>
            </w:tcBorders>
            <w:shd w:val="clear" w:color="auto" w:fill="262626" w:themeFill="text1" w:themeFillTint="D9"/>
            <w:vAlign w:val="center"/>
            <w:hideMark/>
          </w:tcPr>
          <w:p w14:paraId="78B206A2"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Número</w:t>
            </w:r>
          </w:p>
        </w:tc>
        <w:tc>
          <w:tcPr>
            <w:tcW w:w="2503" w:type="dxa"/>
            <w:tcBorders>
              <w:top w:val="double" w:sz="4" w:space="0" w:color="auto"/>
              <w:left w:val="single" w:sz="4" w:space="0" w:color="auto"/>
              <w:bottom w:val="single" w:sz="4" w:space="0" w:color="auto"/>
              <w:right w:val="double" w:sz="4" w:space="0" w:color="auto"/>
            </w:tcBorders>
            <w:shd w:val="clear" w:color="auto" w:fill="262626" w:themeFill="text1" w:themeFillTint="D9"/>
            <w:vAlign w:val="center"/>
            <w:hideMark/>
          </w:tcPr>
          <w:p w14:paraId="60B55BCD"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Método</w:t>
            </w:r>
          </w:p>
        </w:tc>
      </w:tr>
      <w:tr w:rsidR="00DE1F93" w:rsidRPr="00283E81" w14:paraId="0377363D"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hideMark/>
          </w:tcPr>
          <w:p w14:paraId="2C7F257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0.00 a 0.24</w:t>
            </w:r>
          </w:p>
        </w:tc>
        <w:tc>
          <w:tcPr>
            <w:tcW w:w="972" w:type="dxa"/>
            <w:tcBorders>
              <w:top w:val="single" w:sz="4" w:space="0" w:color="auto"/>
              <w:left w:val="single" w:sz="4" w:space="0" w:color="auto"/>
              <w:bottom w:val="single" w:sz="4" w:space="0" w:color="auto"/>
              <w:right w:val="single" w:sz="4" w:space="0" w:color="auto"/>
            </w:tcBorders>
            <w:vAlign w:val="center"/>
            <w:hideMark/>
          </w:tcPr>
          <w:p w14:paraId="24CCB453"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w:t>
            </w:r>
          </w:p>
        </w:tc>
        <w:tc>
          <w:tcPr>
            <w:tcW w:w="2503" w:type="dxa"/>
            <w:tcBorders>
              <w:top w:val="single" w:sz="4" w:space="0" w:color="auto"/>
              <w:left w:val="single" w:sz="4" w:space="0" w:color="auto"/>
              <w:bottom w:val="single" w:sz="4" w:space="0" w:color="auto"/>
              <w:right w:val="double" w:sz="4" w:space="0" w:color="auto"/>
            </w:tcBorders>
            <w:vAlign w:val="center"/>
            <w:hideMark/>
          </w:tcPr>
          <w:p w14:paraId="5C2E9E2E"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 xml:space="preserve">Mediana con valor absoluto </w:t>
            </w:r>
          </w:p>
        </w:tc>
      </w:tr>
      <w:tr w:rsidR="00DE1F93" w:rsidRPr="00283E81" w14:paraId="10B46BE6"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hideMark/>
          </w:tcPr>
          <w:p w14:paraId="0F686860"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0.25 a 0.49</w:t>
            </w:r>
          </w:p>
        </w:tc>
        <w:tc>
          <w:tcPr>
            <w:tcW w:w="972" w:type="dxa"/>
            <w:tcBorders>
              <w:top w:val="single" w:sz="4" w:space="0" w:color="auto"/>
              <w:left w:val="single" w:sz="4" w:space="0" w:color="auto"/>
              <w:bottom w:val="single" w:sz="4" w:space="0" w:color="auto"/>
              <w:right w:val="single" w:sz="4" w:space="0" w:color="auto"/>
            </w:tcBorders>
            <w:vAlign w:val="center"/>
            <w:hideMark/>
          </w:tcPr>
          <w:p w14:paraId="3378F6C7"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2</w:t>
            </w:r>
          </w:p>
        </w:tc>
        <w:tc>
          <w:tcPr>
            <w:tcW w:w="2503" w:type="dxa"/>
            <w:tcBorders>
              <w:top w:val="single" w:sz="4" w:space="0" w:color="auto"/>
              <w:left w:val="single" w:sz="4" w:space="0" w:color="auto"/>
              <w:bottom w:val="single" w:sz="4" w:space="0" w:color="auto"/>
              <w:right w:val="double" w:sz="4" w:space="0" w:color="auto"/>
            </w:tcBorders>
            <w:vAlign w:val="center"/>
            <w:hideMark/>
          </w:tcPr>
          <w:p w14:paraId="42A00A3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Media geométrica</w:t>
            </w:r>
          </w:p>
        </w:tc>
      </w:tr>
      <w:tr w:rsidR="00DE1F93" w:rsidRPr="00283E81" w14:paraId="607B7142"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tcPr>
          <w:p w14:paraId="749C057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 xml:space="preserve">De 0.50 a 0.74 </w:t>
            </w:r>
          </w:p>
        </w:tc>
        <w:tc>
          <w:tcPr>
            <w:tcW w:w="972" w:type="dxa"/>
            <w:tcBorders>
              <w:top w:val="single" w:sz="4" w:space="0" w:color="auto"/>
              <w:left w:val="single" w:sz="4" w:space="0" w:color="auto"/>
              <w:bottom w:val="single" w:sz="4" w:space="0" w:color="auto"/>
              <w:right w:val="single" w:sz="4" w:space="0" w:color="auto"/>
            </w:tcBorders>
            <w:vAlign w:val="center"/>
          </w:tcPr>
          <w:p w14:paraId="208A4E78"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3</w:t>
            </w:r>
          </w:p>
        </w:tc>
        <w:tc>
          <w:tcPr>
            <w:tcW w:w="2503" w:type="dxa"/>
            <w:tcBorders>
              <w:top w:val="single" w:sz="4" w:space="0" w:color="auto"/>
              <w:left w:val="single" w:sz="4" w:space="0" w:color="auto"/>
              <w:bottom w:val="single" w:sz="4" w:space="0" w:color="auto"/>
              <w:right w:val="double" w:sz="4" w:space="0" w:color="auto"/>
            </w:tcBorders>
            <w:vAlign w:val="center"/>
          </w:tcPr>
          <w:p w14:paraId="74F119E6"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Media aritmética baja</w:t>
            </w:r>
          </w:p>
        </w:tc>
      </w:tr>
      <w:tr w:rsidR="00DE1F93" w:rsidRPr="00283E81" w14:paraId="43854667" w14:textId="77777777" w:rsidTr="00973732">
        <w:trPr>
          <w:trHeight w:val="20"/>
          <w:jc w:val="center"/>
        </w:trPr>
        <w:tc>
          <w:tcPr>
            <w:tcW w:w="1712" w:type="dxa"/>
            <w:tcBorders>
              <w:top w:val="single" w:sz="4" w:space="0" w:color="auto"/>
              <w:left w:val="double" w:sz="4" w:space="0" w:color="auto"/>
              <w:bottom w:val="double" w:sz="4" w:space="0" w:color="auto"/>
              <w:right w:val="single" w:sz="4" w:space="0" w:color="auto"/>
            </w:tcBorders>
            <w:vAlign w:val="center"/>
          </w:tcPr>
          <w:p w14:paraId="7AB4CF9C"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0.75 a 0.99</w:t>
            </w:r>
          </w:p>
        </w:tc>
        <w:tc>
          <w:tcPr>
            <w:tcW w:w="972" w:type="dxa"/>
            <w:tcBorders>
              <w:top w:val="single" w:sz="4" w:space="0" w:color="auto"/>
              <w:left w:val="single" w:sz="4" w:space="0" w:color="auto"/>
              <w:bottom w:val="double" w:sz="4" w:space="0" w:color="auto"/>
              <w:right w:val="single" w:sz="4" w:space="0" w:color="auto"/>
            </w:tcBorders>
            <w:vAlign w:val="center"/>
          </w:tcPr>
          <w:p w14:paraId="058D7D53"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4</w:t>
            </w:r>
          </w:p>
        </w:tc>
        <w:tc>
          <w:tcPr>
            <w:tcW w:w="2503" w:type="dxa"/>
            <w:tcBorders>
              <w:top w:val="single" w:sz="4" w:space="0" w:color="auto"/>
              <w:left w:val="single" w:sz="4" w:space="0" w:color="auto"/>
              <w:bottom w:val="double" w:sz="4" w:space="0" w:color="auto"/>
              <w:right w:val="double" w:sz="4" w:space="0" w:color="auto"/>
            </w:tcBorders>
            <w:vAlign w:val="center"/>
          </w:tcPr>
          <w:p w14:paraId="200D9120"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Menor valor</w:t>
            </w:r>
          </w:p>
        </w:tc>
      </w:tr>
    </w:tbl>
    <w:p w14:paraId="6AEAA5B9" w14:textId="77777777" w:rsidR="00DE1F93" w:rsidRPr="00283E81" w:rsidRDefault="00DE1F93" w:rsidP="00DE1F93">
      <w:pPr>
        <w:tabs>
          <w:tab w:val="left" w:pos="1860"/>
        </w:tabs>
        <w:spacing w:after="200" w:line="276" w:lineRule="auto"/>
        <w:jc w:val="both"/>
        <w:rPr>
          <w:rFonts w:ascii="Garamond" w:eastAsia="Calibri" w:hAnsi="Garamond" w:cs="Arial"/>
          <w:color w:val="000000" w:themeColor="text1"/>
          <w:sz w:val="22"/>
          <w:szCs w:val="22"/>
        </w:rPr>
      </w:pPr>
    </w:p>
    <w:p w14:paraId="46E48EE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En todos los casos se tendrá en cuenta hasta el séptimo (7°) decimal del valor obtenido como puntaje y las fórmulas se aplicarán con las propuestas que no han sido rechazadas y se encuentran válidas.</w:t>
      </w:r>
    </w:p>
    <w:p w14:paraId="6B931071"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Las propuestas que al aplicar las fórmulas obtengan puntajes negativos obtienen cero (0) puntos en la oferta económica. </w:t>
      </w:r>
    </w:p>
    <w:p w14:paraId="03EA9D3D" w14:textId="77777777" w:rsidR="00DE1F93" w:rsidRPr="00283E81" w:rsidRDefault="00DE1F93" w:rsidP="00DE1F93">
      <w:pPr>
        <w:jc w:val="both"/>
        <w:rPr>
          <w:rFonts w:ascii="Garamond" w:hAnsi="Garamond"/>
          <w:sz w:val="22"/>
          <w:szCs w:val="22"/>
          <w:lang w:val="es-MX"/>
        </w:rPr>
      </w:pPr>
      <w:r w:rsidRPr="00283E81">
        <w:rPr>
          <w:rFonts w:ascii="Garamond" w:eastAsia="Arial" w:hAnsi="Garamond" w:cs="Arial"/>
          <w:sz w:val="22"/>
          <w:szCs w:val="22"/>
          <w:lang w:val="es-MX"/>
        </w:rPr>
        <w:t>En el evento que solo exista una oferta habilitada, la Entidad podrá prescindir de la definición de la TRM y escogencia de método de ponderación de la oferta económica.</w:t>
      </w:r>
    </w:p>
    <w:p w14:paraId="5A9EED13"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lang w:val="es-MX"/>
        </w:rPr>
      </w:pPr>
    </w:p>
    <w:p w14:paraId="1DF9C96C" w14:textId="77777777" w:rsidR="00DE1F93" w:rsidRPr="00283E81" w:rsidRDefault="00DE1F93" w:rsidP="003400E2">
      <w:pPr>
        <w:widowControl/>
        <w:numPr>
          <w:ilvl w:val="2"/>
          <w:numId w:val="84"/>
        </w:numPr>
        <w:suppressAutoHyphens w:val="0"/>
        <w:autoSpaceDN/>
        <w:spacing w:after="200" w:line="276" w:lineRule="auto"/>
        <w:contextualSpacing/>
        <w:jc w:val="both"/>
        <w:textAlignment w:val="auto"/>
        <w:rPr>
          <w:rFonts w:ascii="Garamond" w:hAnsi="Garamond" w:cs="Arial"/>
          <w:b/>
          <w:bCs/>
          <w:sz w:val="22"/>
          <w:szCs w:val="22"/>
        </w:rPr>
      </w:pPr>
      <w:r w:rsidRPr="00283E81">
        <w:rPr>
          <w:rFonts w:ascii="Garamond" w:hAnsi="Garamond" w:cs="Arial"/>
          <w:b/>
          <w:bCs/>
          <w:sz w:val="22"/>
          <w:szCs w:val="22"/>
        </w:rPr>
        <w:t>Mediana con valor absoluto</w:t>
      </w:r>
    </w:p>
    <w:p w14:paraId="12B0EDB5" w14:textId="77777777" w:rsidR="00DE1F93" w:rsidRPr="00283E81" w:rsidRDefault="00DE1F93" w:rsidP="00DE1F93">
      <w:pPr>
        <w:spacing w:after="200" w:line="276" w:lineRule="auto"/>
        <w:ind w:left="1080"/>
        <w:contextualSpacing/>
        <w:jc w:val="both"/>
        <w:rPr>
          <w:rFonts w:ascii="Garamond" w:hAnsi="Garamond" w:cs="Arial"/>
          <w:b/>
          <w:sz w:val="22"/>
          <w:szCs w:val="22"/>
        </w:rPr>
      </w:pPr>
    </w:p>
    <w:p w14:paraId="289BF872"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eastAsia="es-ES"/>
        </w:rPr>
        <w:t>Entidad calculará el valor de la mediana con los valores de las propuestas hábiles. En esta alternativa se entenderá por mediana de un grupo de valores el resultado del cálculo que se obtiene a través de la aplicación del siguiente proceso: la Entidad ordenará los valores de las propuestas hábiles de manera descendente. Si el número de valores es impar, la mediana corresponde al valor central, si el número de valores es par, la mediana será el promedio de los dos valores centrales.</w:t>
      </w:r>
    </w:p>
    <w:p w14:paraId="0296F008" w14:textId="77777777" w:rsidR="00DE1F93" w:rsidRPr="00283E81" w:rsidRDefault="00DE1F93" w:rsidP="00DE1F93">
      <w:pPr>
        <w:jc w:val="both"/>
        <w:rPr>
          <w:rFonts w:ascii="Garamond" w:hAnsi="Garamond" w:cs="Arial"/>
          <w:color w:val="000000" w:themeColor="text1"/>
          <w:sz w:val="22"/>
          <w:szCs w:val="22"/>
          <w:lang w:eastAsia="es-ES"/>
        </w:rPr>
      </w:pPr>
    </w:p>
    <w:p w14:paraId="73830260"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Me</m:t>
          </m:r>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Mediana</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m:t>
              </m:r>
            </m:sub>
          </m:sSub>
          <m:r>
            <m:rPr>
              <m:sty m:val="p"/>
            </m:rPr>
            <w:rPr>
              <w:rFonts w:ascii="Cambria Math" w:hAnsi="Cambria Math" w:cs="Arial"/>
              <w:color w:val="000000" w:themeColor="text1"/>
              <w:sz w:val="22"/>
              <w:szCs w:val="22"/>
              <w:lang w:eastAsia="es-ES"/>
            </w:rPr>
            <m:t>)</m:t>
          </m:r>
        </m:oMath>
      </m:oMathPara>
    </w:p>
    <w:p w14:paraId="03FF01CF"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68F52003" w14:textId="77777777" w:rsidR="00DE1F93" w:rsidRPr="00283E81" w:rsidRDefault="00573863" w:rsidP="003400E2">
      <w:pPr>
        <w:pStyle w:val="Prrafodelista"/>
        <w:numPr>
          <w:ilvl w:val="0"/>
          <w:numId w:val="94"/>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1EDA0DAD" w14:textId="77777777" w:rsidR="00DE1F93" w:rsidRPr="00283E81" w:rsidRDefault="00DE1F93" w:rsidP="003400E2">
      <w:pPr>
        <w:pStyle w:val="Prrafodelista"/>
        <w:numPr>
          <w:ilvl w:val="0"/>
          <w:numId w:val="94"/>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 Es el número total de propuestas económicas válidas recibidas por la Entidad.</w:t>
      </w:r>
    </w:p>
    <w:p w14:paraId="2E4B5F9E" w14:textId="77777777" w:rsidR="00DE1F93" w:rsidRPr="00283E81" w:rsidRDefault="00DE1F93" w:rsidP="003400E2">
      <w:pPr>
        <w:pStyle w:val="Prrafodelista"/>
        <w:numPr>
          <w:ilvl w:val="0"/>
          <w:numId w:val="94"/>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Me: Es la mediana calculada con los valores de las propuestas económicas válidas.</w:t>
      </w:r>
    </w:p>
    <w:p w14:paraId="1CA00BF7"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Bajo este método la Entidad asignará el puntaje así: </w:t>
      </w:r>
    </w:p>
    <w:p w14:paraId="42F7B4DC" w14:textId="77777777" w:rsidR="00DE1F93" w:rsidRPr="00283E81" w:rsidRDefault="00DE1F93" w:rsidP="00DE1F93">
      <w:pPr>
        <w:ind w:left="709" w:hanging="283"/>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I.   Si el número de valores de las propuestas hábiles es impar, el máximo puntaje será asignado a la </w:t>
      </w:r>
      <w:r w:rsidRPr="00283E81">
        <w:rPr>
          <w:rFonts w:ascii="Garamond" w:hAnsi="Garamond" w:cs="Arial"/>
          <w:color w:val="000000" w:themeColor="text1"/>
          <w:sz w:val="22"/>
          <w:szCs w:val="22"/>
          <w:lang w:eastAsia="es-ES"/>
        </w:rPr>
        <w:lastRenderedPageBreak/>
        <w:t>propuesta que se encuentre en el valor de la mediana. Para las otras propuestas, se utilizará la siguiente fórmula:</w:t>
      </w:r>
    </w:p>
    <w:p w14:paraId="33E22341" w14:textId="77777777" w:rsidR="00DE1F93" w:rsidRPr="00283E81" w:rsidRDefault="00DE1F93" w:rsidP="00DE1F93">
      <w:pPr>
        <w:jc w:val="both"/>
        <w:rPr>
          <w:rFonts w:ascii="Garamond" w:hAnsi="Garamond" w:cs="Arial"/>
          <w:color w:val="000000" w:themeColor="text1"/>
          <w:sz w:val="22"/>
          <w:szCs w:val="22"/>
          <w:lang w:eastAsia="es-ES"/>
        </w:rPr>
      </w:pPr>
    </w:p>
    <w:p w14:paraId="056F4B76"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begChr m:val="|"/>
                      <m:endChr m:val="|"/>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r>
                            <w:rPr>
                              <w:rFonts w:ascii="Cambria Math" w:hAnsi="Cambria Math" w:cs="Arial"/>
                              <w:color w:val="000000" w:themeColor="text1"/>
                              <w:sz w:val="22"/>
                              <w:szCs w:val="22"/>
                              <w:lang w:eastAsia="es-ES"/>
                            </w:rPr>
                            <m:t>Me</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r>
                            <w:rPr>
                              <w:rFonts w:ascii="Cambria Math" w:hAnsi="Cambria Math" w:cs="Arial"/>
                              <w:color w:val="000000" w:themeColor="text1"/>
                              <w:sz w:val="22"/>
                              <w:szCs w:val="22"/>
                              <w:lang w:eastAsia="es-ES"/>
                            </w:rPr>
                            <m:t>Me</m:t>
                          </m:r>
                        </m:den>
                      </m:f>
                    </m:e>
                  </m:d>
                </m:e>
              </m:d>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e>
          </m:d>
        </m:oMath>
      </m:oMathPara>
    </w:p>
    <w:p w14:paraId="19AE8EFD"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58B03E53" w14:textId="77777777" w:rsidR="00DE1F93" w:rsidRPr="00283E81" w:rsidRDefault="00DE1F93" w:rsidP="003400E2">
      <w:pPr>
        <w:pStyle w:val="Prrafodelista"/>
        <w:numPr>
          <w:ilvl w:val="0"/>
          <w:numId w:val="95"/>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Me: Es la mediana calculada con los valores de las propuestas económicas válidas.</w:t>
      </w:r>
    </w:p>
    <w:p w14:paraId="7C53DBC0" w14:textId="77777777" w:rsidR="00DE1F93" w:rsidRPr="00283E81" w:rsidRDefault="00573863" w:rsidP="003400E2">
      <w:pPr>
        <w:pStyle w:val="Prrafodelista"/>
        <w:numPr>
          <w:ilvl w:val="0"/>
          <w:numId w:val="95"/>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382260A4" w14:textId="77777777" w:rsidR="00DE1F93" w:rsidRPr="00283E81" w:rsidRDefault="00DE1F93" w:rsidP="00DE1F93">
      <w:pPr>
        <w:ind w:left="709" w:hanging="425"/>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II.    Si el número de valores de las propuestas hábiles es par, se asignará el máximo puntaje a la propuesta que se encuentre inmediatamente por debajo de la mediana. Para las otras propuestas, se utilizará la siguiente fórmula:</w:t>
      </w:r>
    </w:p>
    <w:p w14:paraId="19E25237" w14:textId="77777777" w:rsidR="00DE1F93" w:rsidRPr="00283E81" w:rsidRDefault="00DE1F93" w:rsidP="00DE1F93">
      <w:pPr>
        <w:jc w:val="both"/>
        <w:rPr>
          <w:rFonts w:ascii="Garamond" w:hAnsi="Garamond" w:cs="Arial"/>
          <w:color w:val="000000" w:themeColor="text1"/>
          <w:sz w:val="22"/>
          <w:szCs w:val="22"/>
          <w:lang w:eastAsia="es-ES"/>
        </w:rPr>
      </w:pPr>
    </w:p>
    <w:p w14:paraId="1A78CB45"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begChr m:val="|"/>
                      <m:endChr m:val="|"/>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Me</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Me</m:t>
                              </m:r>
                            </m:sub>
                          </m:sSub>
                        </m:den>
                      </m:f>
                    </m:e>
                  </m:d>
                </m:e>
              </m:d>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e>
          </m:d>
        </m:oMath>
      </m:oMathPara>
    </w:p>
    <w:p w14:paraId="271ACDE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4A5963AB" w14:textId="77777777" w:rsidR="00DE1F93" w:rsidRPr="00283E81" w:rsidRDefault="00573863" w:rsidP="003400E2">
      <w:pPr>
        <w:pStyle w:val="Prrafodelista"/>
        <w:numPr>
          <w:ilvl w:val="0"/>
          <w:numId w:val="96"/>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Me</m:t>
            </m:r>
          </m:sub>
        </m:sSub>
      </m:oMath>
      <w:r w:rsidR="00DE1F93" w:rsidRPr="00283E81">
        <w:rPr>
          <w:rFonts w:ascii="Garamond" w:hAnsi="Garamond" w:cs="Arial"/>
          <w:color w:val="000000" w:themeColor="text1"/>
          <w:lang w:eastAsia="es-ES"/>
        </w:rPr>
        <w:t>: Es el valor de la propuesta económica válida inmediatamente por debajo de la mediana.</w:t>
      </w:r>
    </w:p>
    <w:p w14:paraId="625167AB" w14:textId="77777777" w:rsidR="00DE1F93" w:rsidRPr="00283E81" w:rsidRDefault="00573863" w:rsidP="003400E2">
      <w:pPr>
        <w:pStyle w:val="Prrafodelista"/>
        <w:numPr>
          <w:ilvl w:val="0"/>
          <w:numId w:val="96"/>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6802EF13" w14:textId="77777777" w:rsidR="00DE1F93" w:rsidRPr="00283E81" w:rsidRDefault="00DE1F93" w:rsidP="003400E2">
      <w:pPr>
        <w:widowControl/>
        <w:numPr>
          <w:ilvl w:val="2"/>
          <w:numId w:val="84"/>
        </w:numPr>
        <w:suppressAutoHyphens w:val="0"/>
        <w:autoSpaceDN/>
        <w:spacing w:after="240" w:line="276" w:lineRule="auto"/>
        <w:ind w:left="1077"/>
        <w:jc w:val="both"/>
        <w:textAlignment w:val="auto"/>
        <w:rPr>
          <w:rFonts w:ascii="Garamond" w:eastAsia="Arial" w:hAnsi="Garamond" w:cs="Arial"/>
          <w:b/>
          <w:bCs/>
          <w:color w:val="000000" w:themeColor="text1"/>
          <w:sz w:val="22"/>
          <w:szCs w:val="22"/>
        </w:rPr>
      </w:pPr>
      <w:r w:rsidRPr="00283E81">
        <w:rPr>
          <w:rFonts w:ascii="Garamond" w:hAnsi="Garamond" w:cs="Arial"/>
          <w:b/>
          <w:bCs/>
          <w:color w:val="000000" w:themeColor="text1"/>
          <w:sz w:val="22"/>
          <w:szCs w:val="22"/>
        </w:rPr>
        <w:t>Media</w:t>
      </w:r>
      <w:r w:rsidRPr="00283E81">
        <w:rPr>
          <w:rFonts w:ascii="Garamond" w:eastAsia="Arial" w:hAnsi="Garamond" w:cs="Arial"/>
          <w:b/>
          <w:bCs/>
          <w:color w:val="000000" w:themeColor="text1"/>
          <w:sz w:val="22"/>
          <w:szCs w:val="22"/>
        </w:rPr>
        <w:t xml:space="preserve"> G</w:t>
      </w:r>
      <w:r w:rsidRPr="00283E81">
        <w:rPr>
          <w:rFonts w:ascii="Garamond" w:hAnsi="Garamond" w:cs="Arial"/>
          <w:b/>
          <w:bCs/>
          <w:color w:val="000000" w:themeColor="text1"/>
          <w:sz w:val="22"/>
          <w:szCs w:val="22"/>
        </w:rPr>
        <w:t>eométrica</w:t>
      </w:r>
    </w:p>
    <w:p w14:paraId="539A9194" w14:textId="77777777" w:rsidR="00DE1F93" w:rsidRPr="00283E81" w:rsidDel="7381EF0F"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Para </w:t>
      </w:r>
      <w:r w:rsidRPr="00283E81">
        <w:rPr>
          <w:rFonts w:ascii="Garamond" w:hAnsi="Garamond" w:cs="Arial"/>
          <w:color w:val="000000" w:themeColor="text1"/>
          <w:sz w:val="22"/>
          <w:szCs w:val="22"/>
          <w:lang w:eastAsia="es-ES"/>
        </w:rPr>
        <w:t xml:space="preserve">calcular la Media Geométrica se tomará el valor de las propuestas hábiles para el respectivo factor de calificación para asignar el puntaje de conformidad con el siguiente procedimiento: </w:t>
      </w:r>
    </w:p>
    <w:p w14:paraId="6BCFC742" w14:textId="77777777" w:rsidR="00DE1F93" w:rsidRPr="00283E81" w:rsidRDefault="00DE1F93" w:rsidP="00DE1F93">
      <w:pPr>
        <w:jc w:val="both"/>
        <w:rPr>
          <w:rFonts w:ascii="Garamond" w:hAnsi="Garamond" w:cs="Arial"/>
          <w:color w:val="000000" w:themeColor="text1"/>
          <w:sz w:val="22"/>
          <w:szCs w:val="22"/>
          <w:lang w:eastAsia="es-ES"/>
        </w:rPr>
      </w:pPr>
    </w:p>
    <w:p w14:paraId="1D1C2FC8"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MG</m:t>
          </m:r>
          <m:r>
            <m:rPr>
              <m:sty m:val="p"/>
            </m:rPr>
            <w:rPr>
              <w:rFonts w:ascii="Cambria Math" w:hAnsi="Cambria Math" w:cs="Arial"/>
              <w:color w:val="000000" w:themeColor="text1"/>
              <w:sz w:val="22"/>
              <w:szCs w:val="22"/>
              <w:lang w:eastAsia="es-ES"/>
            </w:rPr>
            <m:t>=</m:t>
          </m:r>
          <m:rad>
            <m:radPr>
              <m:ctrlPr>
                <w:rPr>
                  <w:rFonts w:ascii="Cambria Math" w:hAnsi="Cambria Math" w:cs="Arial"/>
                  <w:iCs/>
                  <w:color w:val="000000" w:themeColor="text1"/>
                  <w:sz w:val="22"/>
                  <w:szCs w:val="22"/>
                  <w:lang w:eastAsia="es-ES"/>
                </w:rPr>
              </m:ctrlPr>
            </m:radPr>
            <m:deg>
              <m:r>
                <w:rPr>
                  <w:rFonts w:ascii="Cambria Math" w:hAnsi="Cambria Math" w:cs="Arial"/>
                  <w:color w:val="000000" w:themeColor="text1"/>
                  <w:sz w:val="22"/>
                  <w:szCs w:val="22"/>
                  <w:lang w:eastAsia="es-ES"/>
                </w:rPr>
                <m:t>n</m:t>
              </m:r>
            </m:deg>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3</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n</m:t>
                  </m:r>
                </m:sub>
              </m:sSub>
            </m:e>
          </m:rad>
        </m:oMath>
      </m:oMathPara>
    </w:p>
    <w:p w14:paraId="5D61C86C" w14:textId="77777777" w:rsidR="00DE1F93" w:rsidRPr="00283E81" w:rsidRDefault="00DE1F93" w:rsidP="00DE1F93">
      <w:pPr>
        <w:jc w:val="both"/>
        <w:rPr>
          <w:rFonts w:ascii="Garamond" w:hAnsi="Garamond" w:cs="Arial"/>
          <w:i/>
          <w:iCs/>
          <w:color w:val="000000" w:themeColor="text1"/>
          <w:sz w:val="22"/>
          <w:szCs w:val="22"/>
          <w:lang w:eastAsia="es-ES"/>
        </w:rPr>
      </w:pPr>
      <w:r w:rsidRPr="00283E81">
        <w:rPr>
          <w:rFonts w:ascii="Garamond" w:hAnsi="Garamond" w:cs="Arial"/>
          <w:color w:val="000000" w:themeColor="text1"/>
          <w:sz w:val="22"/>
          <w:szCs w:val="22"/>
          <w:lang w:eastAsia="es-ES"/>
        </w:rPr>
        <w:t xml:space="preserve">Donde: </w:t>
      </w:r>
    </w:p>
    <w:p w14:paraId="0B52BCFE"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 xml:space="preserve">MG: Es la media geométrica de todas las ofertas habilitadas. </w:t>
      </w:r>
    </w:p>
    <w:p w14:paraId="00290304"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V1: Es el valor de una propuesta habilitada.</w:t>
      </w:r>
    </w:p>
    <w:p w14:paraId="40656068"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proofErr w:type="spellStart"/>
      <w:r w:rsidRPr="00283E81">
        <w:rPr>
          <w:rFonts w:ascii="Garamond" w:hAnsi="Garamond" w:cs="Arial"/>
          <w:color w:val="000000" w:themeColor="text1"/>
          <w:lang w:eastAsia="es-ES"/>
        </w:rPr>
        <w:t>Vn</w:t>
      </w:r>
      <w:proofErr w:type="spellEnd"/>
      <w:r w:rsidRPr="00283E81">
        <w:rPr>
          <w:rFonts w:ascii="Garamond" w:hAnsi="Garamond" w:cs="Arial"/>
          <w:color w:val="000000" w:themeColor="text1"/>
          <w:lang w:eastAsia="es-ES"/>
        </w:rPr>
        <w:t xml:space="preserve">: Es el valor de la propuesta n habilitada. </w:t>
      </w:r>
    </w:p>
    <w:p w14:paraId="0C305937"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 xml:space="preserve">n: La cantidad total de propuestas habilitadas. </w:t>
      </w:r>
    </w:p>
    <w:p w14:paraId="35DB564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Para efectos de la asignación de puntaje se tendrá en cuenta lo siguiente: se otorgará el máximo puntaje al valor de la propuesta que se encuentre más cerca (por exceso o por defecto) al valor de la media geométrica calculada para el factor correspondiente.</w:t>
      </w:r>
    </w:p>
    <w:p w14:paraId="3A894CE3"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Las demás propuestas recibirán puntaje de acuerdo con la siguiente ecuación:</w:t>
      </w:r>
    </w:p>
    <w:p w14:paraId="405786AB" w14:textId="77777777" w:rsidR="00DE1F93" w:rsidRPr="00283E81" w:rsidRDefault="00DE1F93" w:rsidP="00DE1F93">
      <w:pPr>
        <w:spacing w:after="240" w:line="276" w:lineRule="auto"/>
        <w:jc w:val="both"/>
        <w:rPr>
          <w:rFonts w:ascii="Garamond" w:eastAsiaTheme="minorEastAsia"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Puntaje=Puntaje máximo*</m:t>
          </m:r>
          <m:d>
            <m:dPr>
              <m:ctrlPr>
                <w:rPr>
                  <w:rFonts w:ascii="Cambria Math" w:hAnsi="Cambria Math" w:cs="Arial"/>
                  <w:i/>
                  <w:iCs/>
                  <w:color w:val="000000" w:themeColor="text1"/>
                  <w:sz w:val="22"/>
                  <w:szCs w:val="22"/>
                  <w:lang w:eastAsia="es-ES"/>
                </w:rPr>
              </m:ctrlPr>
            </m:dPr>
            <m:e>
              <m:r>
                <w:rPr>
                  <w:rFonts w:ascii="Cambria Math" w:hAnsi="Cambria Math" w:cs="Arial"/>
                  <w:color w:val="000000" w:themeColor="text1"/>
                  <w:sz w:val="22"/>
                  <w:szCs w:val="22"/>
                  <w:lang w:eastAsia="es-ES"/>
                </w:rPr>
                <m:t>1-</m:t>
              </m:r>
              <m:d>
                <m:dPr>
                  <m:ctrlPr>
                    <w:rPr>
                      <w:rFonts w:ascii="Cambria Math" w:hAnsi="Cambria Math" w:cs="Arial"/>
                      <w:i/>
                      <w:iCs/>
                      <w:color w:val="000000" w:themeColor="text1"/>
                      <w:sz w:val="22"/>
                      <w:szCs w:val="22"/>
                      <w:lang w:eastAsia="es-ES"/>
                    </w:rPr>
                  </m:ctrlPr>
                </m:dPr>
                <m:e>
                  <m:f>
                    <m:fPr>
                      <m:ctrlPr>
                        <w:rPr>
                          <w:rFonts w:ascii="Cambria Math" w:hAnsi="Cambria Math" w:cs="Arial"/>
                          <w:i/>
                          <w:iCs/>
                          <w:color w:val="000000" w:themeColor="text1"/>
                          <w:sz w:val="22"/>
                          <w:szCs w:val="22"/>
                          <w:lang w:eastAsia="es-ES"/>
                        </w:rPr>
                      </m:ctrlPr>
                    </m:fPr>
                    <m:num>
                      <m:d>
                        <m:dPr>
                          <m:begChr m:val="|"/>
                          <m:endChr m:val="|"/>
                          <m:ctrlPr>
                            <w:rPr>
                              <w:rFonts w:ascii="Cambria Math" w:hAnsi="Cambria Math" w:cs="Arial"/>
                              <w:i/>
                              <w:iCs/>
                              <w:color w:val="000000" w:themeColor="text1"/>
                              <w:sz w:val="22"/>
                              <w:szCs w:val="22"/>
                              <w:lang w:eastAsia="es-ES"/>
                            </w:rPr>
                          </m:ctrlPr>
                        </m:dPr>
                        <m:e>
                          <m:r>
                            <w:rPr>
                              <w:rFonts w:ascii="Cambria Math" w:hAnsi="Cambria Math" w:cs="Arial"/>
                              <w:color w:val="000000" w:themeColor="text1"/>
                              <w:sz w:val="22"/>
                              <w:szCs w:val="22"/>
                              <w:lang w:eastAsia="es-ES"/>
                            </w:rPr>
                            <m:t>MG-</m:t>
                          </m:r>
                          <m:sSub>
                            <m:sSubPr>
                              <m:ctrlPr>
                                <w:rPr>
                                  <w:rFonts w:ascii="Cambria Math" w:hAnsi="Cambria Math" w:cs="Arial"/>
                                  <w:i/>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e>
                      </m:d>
                    </m:num>
                    <m:den>
                      <m:r>
                        <w:rPr>
                          <w:rFonts w:ascii="Cambria Math" w:hAnsi="Cambria Math" w:cs="Arial"/>
                          <w:color w:val="000000" w:themeColor="text1"/>
                          <w:sz w:val="22"/>
                          <w:szCs w:val="22"/>
                          <w:lang w:eastAsia="es-ES"/>
                        </w:rPr>
                        <m:t>MG</m:t>
                      </m:r>
                    </m:den>
                  </m:f>
                </m:e>
              </m:d>
            </m:e>
          </m:d>
        </m:oMath>
      </m:oMathPara>
    </w:p>
    <w:p w14:paraId="78D61EAA" w14:textId="77777777" w:rsidR="00DE1F93" w:rsidRPr="00283E81" w:rsidRDefault="00DE1F93" w:rsidP="00DE1F93">
      <w:pPr>
        <w:spacing w:after="120"/>
        <w:rPr>
          <w:rFonts w:ascii="Garamond" w:hAnsi="Garamond" w:cs="Arial"/>
          <w:sz w:val="22"/>
          <w:szCs w:val="22"/>
          <w:lang w:val="es-MX"/>
        </w:rPr>
      </w:pPr>
      <w:r w:rsidRPr="00283E81">
        <w:rPr>
          <w:rFonts w:ascii="Garamond" w:hAnsi="Garamond" w:cs="Arial"/>
          <w:sz w:val="22"/>
          <w:szCs w:val="22"/>
          <w:lang w:val="es-MX"/>
        </w:rPr>
        <w:t>Donde:</w:t>
      </w:r>
    </w:p>
    <w:p w14:paraId="49636A13" w14:textId="77777777" w:rsidR="00DE1F93" w:rsidRPr="00283E81" w:rsidRDefault="00DE1F93" w:rsidP="003400E2">
      <w:pPr>
        <w:widowControl/>
        <w:numPr>
          <w:ilvl w:val="0"/>
          <w:numId w:val="102"/>
        </w:numPr>
        <w:suppressAutoHyphens w:val="0"/>
        <w:autoSpaceDN/>
        <w:spacing w:after="120" w:line="259" w:lineRule="auto"/>
        <w:ind w:left="582" w:hanging="219"/>
        <w:textAlignment w:val="auto"/>
        <w:rPr>
          <w:rFonts w:ascii="Garamond" w:hAnsi="Garamond" w:cs="Arial"/>
          <w:sz w:val="22"/>
          <w:szCs w:val="22"/>
          <w:lang w:val="es-MX"/>
        </w:rPr>
      </w:pPr>
      <w:r w:rsidRPr="00283E81">
        <w:rPr>
          <w:rFonts w:ascii="Garamond" w:hAnsi="Garamond" w:cs="Arial"/>
          <w:sz w:val="22"/>
          <w:szCs w:val="22"/>
          <w:lang w:val="es-MX"/>
        </w:rPr>
        <w:lastRenderedPageBreak/>
        <w:t>MG: Es la media geométrica de todas las ofertas habilitadas.</w:t>
      </w:r>
    </w:p>
    <w:p w14:paraId="05E940BC" w14:textId="77777777" w:rsidR="00DE1F93" w:rsidRPr="00283E81" w:rsidRDefault="00573863" w:rsidP="003400E2">
      <w:pPr>
        <w:widowControl/>
        <w:numPr>
          <w:ilvl w:val="0"/>
          <w:numId w:val="102"/>
        </w:numPr>
        <w:suppressAutoHyphens w:val="0"/>
        <w:autoSpaceDN/>
        <w:spacing w:after="120" w:line="259" w:lineRule="auto"/>
        <w:ind w:left="582" w:hanging="219"/>
        <w:textAlignment w:val="auto"/>
        <w:rPr>
          <w:rFonts w:ascii="Garamond" w:hAnsi="Garamond" w:cs="Arial"/>
          <w:sz w:val="22"/>
          <w:szCs w:val="22"/>
          <w:lang w:val="es-MX"/>
        </w:rPr>
      </w:pPr>
      <m:oMath>
        <m:sSub>
          <m:sSubPr>
            <m:ctrlPr>
              <w:rPr>
                <w:rFonts w:ascii="Cambria Math" w:hAnsi="Cambria Math" w:cs="Arial"/>
                <w:i/>
                <w:iCs/>
                <w:sz w:val="22"/>
                <w:szCs w:val="22"/>
              </w:rPr>
            </m:ctrlPr>
          </m:sSubPr>
          <m:e>
            <m:r>
              <w:rPr>
                <w:rFonts w:ascii="Cambria Math" w:hAnsi="Cambria Math" w:cs="Arial"/>
                <w:sz w:val="22"/>
                <w:szCs w:val="22"/>
              </w:rPr>
              <m:t>V</m:t>
            </m:r>
          </m:e>
          <m:sub>
            <m:r>
              <w:rPr>
                <w:rFonts w:ascii="Cambria Math" w:hAnsi="Cambria Math" w:cs="Arial"/>
                <w:sz w:val="22"/>
                <w:szCs w:val="22"/>
              </w:rPr>
              <m:t>i</m:t>
            </m:r>
          </m:sub>
        </m:sSub>
      </m:oMath>
      <w:r w:rsidR="00DE1F93" w:rsidRPr="00283E81">
        <w:rPr>
          <w:rFonts w:ascii="Garamond" w:hAnsi="Garamond" w:cs="Arial"/>
          <w:sz w:val="22"/>
          <w:szCs w:val="22"/>
          <w:lang w:val="es-MX"/>
        </w:rPr>
        <w:t>: Es el valor total corregido de cada una de las propuestas “i”.</w:t>
      </w:r>
    </w:p>
    <w:p w14:paraId="60651A00" w14:textId="77777777" w:rsidR="00DE1F93" w:rsidRPr="00283E81" w:rsidRDefault="00DE1F93" w:rsidP="00DE1F93">
      <w:pPr>
        <w:spacing w:after="120"/>
        <w:rPr>
          <w:rFonts w:ascii="Garamond" w:hAnsi="Garamond" w:cs="Arial"/>
          <w:sz w:val="22"/>
          <w:szCs w:val="22"/>
          <w:lang w:val="es-MX"/>
        </w:rPr>
      </w:pPr>
      <w:r w:rsidRPr="00283E81">
        <w:rPr>
          <w:rFonts w:ascii="Garamond" w:hAnsi="Garamond" w:cs="Arial"/>
          <w:sz w:val="22"/>
          <w:szCs w:val="22"/>
          <w:lang w:val="es-MX"/>
        </w:rPr>
        <w:t>Se tomará el valor absoluto de la diferencia entre la media geométrica y el valor total corregido de cada una de las propuestas.</w:t>
      </w:r>
    </w:p>
    <w:p w14:paraId="21A36A90" w14:textId="77777777" w:rsidR="00DE1F93" w:rsidRPr="00283E81" w:rsidRDefault="00DE1F93" w:rsidP="00DE1F93">
      <w:pPr>
        <w:spacing w:after="240" w:line="276" w:lineRule="auto"/>
        <w:jc w:val="both"/>
        <w:rPr>
          <w:rFonts w:ascii="Garamond" w:hAnsi="Garamond" w:cs="Arial"/>
          <w:color w:val="000000" w:themeColor="text1"/>
          <w:sz w:val="22"/>
          <w:szCs w:val="22"/>
          <w:lang w:val="es-MX"/>
        </w:rPr>
      </w:pPr>
    </w:p>
    <w:p w14:paraId="153BD3C2" w14:textId="77777777" w:rsidR="00DE1F93" w:rsidRPr="00283E81" w:rsidRDefault="00DE1F93" w:rsidP="003400E2">
      <w:pPr>
        <w:pStyle w:val="Prrafodelista"/>
        <w:numPr>
          <w:ilvl w:val="2"/>
          <w:numId w:val="84"/>
        </w:numPr>
        <w:tabs>
          <w:tab w:val="left" w:pos="-142"/>
        </w:tabs>
        <w:autoSpaceDE w:val="0"/>
        <w:autoSpaceDN w:val="0"/>
        <w:adjustRightInd w:val="0"/>
        <w:spacing w:before="120" w:after="240" w:line="276" w:lineRule="auto"/>
        <w:contextualSpacing w:val="0"/>
        <w:rPr>
          <w:rFonts w:ascii="Garamond" w:eastAsiaTheme="minorHAnsi" w:hAnsi="Garamond" w:cs="Arial"/>
          <w:b/>
          <w:color w:val="000000" w:themeColor="text1"/>
        </w:rPr>
      </w:pPr>
      <w:r w:rsidRPr="00283E81">
        <w:rPr>
          <w:rFonts w:ascii="Garamond" w:eastAsiaTheme="minorHAnsi" w:hAnsi="Garamond" w:cs="Arial"/>
          <w:b/>
          <w:color w:val="000000" w:themeColor="text1"/>
        </w:rPr>
        <w:t>Media Aritmética Baja</w:t>
      </w:r>
    </w:p>
    <w:p w14:paraId="33376ADB"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Consiste </w:t>
      </w:r>
      <w:r w:rsidRPr="00283E81">
        <w:rPr>
          <w:rFonts w:ascii="Garamond" w:hAnsi="Garamond" w:cs="Arial"/>
          <w:color w:val="000000" w:themeColor="text1"/>
          <w:sz w:val="22"/>
          <w:szCs w:val="22"/>
          <w:lang w:eastAsia="es-ES"/>
        </w:rPr>
        <w:t>en determinar el promedio aritmético entre la propuesta válida más baja y el promedio simple de las ofertas hábiles para calificación económica.</w:t>
      </w:r>
    </w:p>
    <w:p w14:paraId="700B21EE" w14:textId="77777777" w:rsidR="00DE1F93" w:rsidRPr="00283E81" w:rsidRDefault="00DE1F93" w:rsidP="00DE1F93">
      <w:pPr>
        <w:jc w:val="both"/>
        <w:rPr>
          <w:rFonts w:ascii="Garamond" w:hAnsi="Garamond" w:cs="Arial"/>
          <w:color w:val="000000" w:themeColor="text1"/>
          <w:sz w:val="22"/>
          <w:szCs w:val="22"/>
          <w:lang w:eastAsia="es-ES"/>
        </w:rPr>
      </w:pPr>
    </w:p>
    <w:p w14:paraId="7621A783" w14:textId="77777777" w:rsidR="00DE1F93" w:rsidRPr="00283E81" w:rsidRDefault="00573863" w:rsidP="00DE1F93">
      <w:pPr>
        <w:jc w:val="both"/>
        <w:rPr>
          <w:rFonts w:ascii="Garamond" w:hAnsi="Garamond" w:cs="Arial"/>
          <w:iCs/>
          <w:color w:val="000000" w:themeColor="text1"/>
          <w:sz w:val="22"/>
          <w:szCs w:val="22"/>
          <w:lang w:eastAsia="es-ES"/>
        </w:rPr>
      </w:pPr>
      <m:oMathPara>
        <m:oMath>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f>
            <m:fPr>
              <m:ctrlPr>
                <w:rPr>
                  <w:rFonts w:ascii="Cambria Math" w:hAnsi="Cambria Math" w:cs="Arial"/>
                  <w:iCs/>
                  <w:color w:val="000000" w:themeColor="text1"/>
                  <w:sz w:val="22"/>
                  <w:szCs w:val="22"/>
                  <w:lang w:eastAsia="es-ES"/>
                </w:rPr>
              </m:ctrlPr>
            </m:fPr>
            <m:num>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r>
                <m:rPr>
                  <m:sty m:val="p"/>
                </m:rPr>
                <w:rPr>
                  <w:rFonts w:ascii="Cambria Math" w:hAnsi="Cambria Math" w:cs="Arial"/>
                  <w:color w:val="000000" w:themeColor="text1"/>
                  <w:sz w:val="22"/>
                  <w:szCs w:val="22"/>
                  <w:lang w:eastAsia="es-ES"/>
                </w:rPr>
                <m:t>+</m:t>
              </m:r>
              <m:acc>
                <m:accPr>
                  <m:chr m:val="̅"/>
                  <m:ctrlPr>
                    <w:rPr>
                      <w:rFonts w:ascii="Cambria Math" w:hAnsi="Cambria Math" w:cs="Arial"/>
                      <w:iCs/>
                      <w:color w:val="000000" w:themeColor="text1"/>
                      <w:sz w:val="22"/>
                      <w:szCs w:val="22"/>
                      <w:lang w:eastAsia="es-ES"/>
                    </w:rPr>
                  </m:ctrlPr>
                </m:accPr>
                <m:e>
                  <m:r>
                    <w:rPr>
                      <w:rFonts w:ascii="Cambria Math" w:hAnsi="Cambria Math" w:cs="Arial"/>
                      <w:color w:val="000000" w:themeColor="text1"/>
                      <w:sz w:val="22"/>
                      <w:szCs w:val="22"/>
                      <w:lang w:eastAsia="es-ES"/>
                    </w:rPr>
                    <m:t>X</m:t>
                  </m:r>
                </m:e>
              </m:acc>
              <m:r>
                <m:rPr>
                  <m:sty m:val="p"/>
                </m:rPr>
                <w:rPr>
                  <w:rFonts w:ascii="Cambria Math" w:hAnsi="Cambria Math" w:cs="Arial"/>
                  <w:color w:val="000000" w:themeColor="text1"/>
                  <w:sz w:val="22"/>
                  <w:szCs w:val="22"/>
                  <w:lang w:eastAsia="es-ES"/>
                </w:rPr>
                <m:t>)</m:t>
              </m:r>
            </m:num>
            <m:den>
              <m:r>
                <m:rPr>
                  <m:sty m:val="p"/>
                </m:rPr>
                <w:rPr>
                  <w:rFonts w:ascii="Cambria Math" w:hAnsi="Cambria Math" w:cs="Arial"/>
                  <w:color w:val="000000" w:themeColor="text1"/>
                  <w:sz w:val="22"/>
                  <w:szCs w:val="22"/>
                  <w:lang w:eastAsia="es-ES"/>
                </w:rPr>
                <m:t>2</m:t>
              </m:r>
            </m:den>
          </m:f>
        </m:oMath>
      </m:oMathPara>
    </w:p>
    <w:p w14:paraId="042436C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7C55BF83"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00A0FB48"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r>
              <m:rPr>
                <m:sty m:val="p"/>
              </m:rPr>
              <w:rPr>
                <w:rFonts w:ascii="Cambria Math" w:hAnsi="Cambria Math" w:cs="Arial"/>
                <w:color w:val="000000" w:themeColor="text1"/>
                <w:lang w:eastAsia="es-ES"/>
              </w:rPr>
              <m:t>X</m:t>
            </m:r>
          </m:e>
        </m:acc>
      </m:oMath>
      <w:r w:rsidR="00DE1F93" w:rsidRPr="00283E81">
        <w:rPr>
          <w:rFonts w:ascii="Garamond" w:hAnsi="Garamond" w:cs="Arial"/>
          <w:color w:val="000000" w:themeColor="text1"/>
          <w:lang w:eastAsia="es-ES"/>
        </w:rPr>
        <w:t>: Es el promedio aritmético simple de las propuestas económicas válidas.</w:t>
      </w:r>
    </w:p>
    <w:p w14:paraId="3AD4A1D8"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X</m:t>
                </m:r>
              </m:e>
              <m:sub>
                <m:r>
                  <m:rPr>
                    <m:sty m:val="p"/>
                  </m:rPr>
                  <w:rPr>
                    <w:rFonts w:ascii="Cambria Math" w:hAnsi="Cambria Math" w:cs="Arial"/>
                    <w:color w:val="000000" w:themeColor="text1"/>
                    <w:lang w:eastAsia="es-ES"/>
                  </w:rPr>
                  <m:t>B</m:t>
                </m:r>
              </m:sub>
            </m:sSub>
          </m:e>
        </m:acc>
      </m:oMath>
      <w:r w:rsidR="00DE1F93" w:rsidRPr="00283E81">
        <w:rPr>
          <w:rFonts w:ascii="Garamond" w:hAnsi="Garamond" w:cs="Arial"/>
          <w:color w:val="000000" w:themeColor="text1"/>
          <w:lang w:eastAsia="es-ES"/>
        </w:rPr>
        <w:t>: Es la media aritmética baja.</w:t>
      </w:r>
    </w:p>
    <w:p w14:paraId="0A51A727"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La Entidad procederá a ponderar las propuestas de acuerdo con la siguiente formula: </w:t>
      </w:r>
    </w:p>
    <w:p w14:paraId="79862D46" w14:textId="77777777" w:rsidR="00DE1F93" w:rsidRPr="00283E81" w:rsidRDefault="00DE1F93" w:rsidP="00DE1F93">
      <w:pPr>
        <w:jc w:val="both"/>
        <w:rPr>
          <w:rFonts w:ascii="Garamond" w:hAnsi="Garamond" w:cs="Arial"/>
          <w:color w:val="000000" w:themeColor="text1"/>
          <w:sz w:val="22"/>
          <w:szCs w:val="22"/>
          <w:lang w:eastAsia="es-ES"/>
        </w:rPr>
      </w:pPr>
    </w:p>
    <w:p w14:paraId="2B83D9C8"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eqArr>
                <m:eqArrPr>
                  <m:ctrlPr>
                    <w:rPr>
                      <w:rFonts w:ascii="Cambria Math" w:hAnsi="Cambria Math" w:cs="Arial"/>
                      <w:iCs/>
                      <w:color w:val="000000" w:themeColor="text1"/>
                      <w:sz w:val="22"/>
                      <w:szCs w:val="22"/>
                      <w:lang w:eastAsia="es-ES"/>
                    </w:rPr>
                  </m:ctrlPr>
                </m:eqArrPr>
                <m:e>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d>
                    <m:dPr>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den>
                          </m:f>
                        </m:e>
                      </m:d>
                    </m:e>
                  </m:d>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Para</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valores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menores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o</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iguales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a</m:t>
                  </m:r>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e>
                <m:e>
                  <m:r>
                    <m:rPr>
                      <m:sty m:val="p"/>
                    </m:rPr>
                    <w:rPr>
                      <w:rFonts w:ascii="Cambria Math" w:hAnsi="Cambria Math" w:cs="Arial"/>
                      <w:color w:val="000000" w:themeColor="text1"/>
                      <w:sz w:val="22"/>
                      <w:szCs w:val="22"/>
                      <w:lang w:eastAsia="es-ES"/>
                    </w:rPr>
                    <m:t xml:space="preserve"> </m:t>
                  </m:r>
                </m:e>
                <m:e>
                  <m:r>
                    <m:rPr>
                      <m:sty m:val="p"/>
                    </m:rPr>
                    <w:rPr>
                      <w:rFonts w:ascii="Cambria Math" w:hAnsi="Cambria Math" w:cs="Arial"/>
                      <w:color w:val="000000" w:themeColor="text1"/>
                      <w:sz w:val="22"/>
                      <w:szCs w:val="22"/>
                      <w:lang w:eastAsia="es-ES"/>
                    </w:rPr>
                    <m:t xml:space="preserve"> </m:t>
                  </m:r>
                </m:e>
                <m:e>
                  <m:r>
                    <m:rPr>
                      <m:sty m:val="p"/>
                    </m:rPr>
                    <w:rPr>
                      <w:rFonts w:ascii="Cambria Math" w:hAnsi="Cambria Math" w:cs="Arial"/>
                      <w:color w:val="000000" w:themeColor="text1"/>
                      <w:sz w:val="22"/>
                      <w:szCs w:val="22"/>
                      <w:lang w:eastAsia="es-ES"/>
                    </w:rPr>
                    <m:t xml:space="preserve"> </m:t>
                  </m:r>
                </m:e>
                <m:e>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d>
                    <m:dPr>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r>
                                    <m:rPr>
                                      <m:sty m:val="p"/>
                                    </m:rPr>
                                    <w:rPr>
                                      <w:rFonts w:ascii="Cambria Math" w:hAnsi="Cambria Math" w:cs="Arial"/>
                                      <w:color w:val="000000" w:themeColor="text1"/>
                                      <w:sz w:val="22"/>
                                      <w:szCs w:val="22"/>
                                      <w:lang w:eastAsia="es-ES"/>
                                    </w:rPr>
                                    <m:t xml:space="preserve"> </m:t>
                                  </m:r>
                                </m:e>
                              </m:d>
                            </m:num>
                            <m:den>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den>
                          </m:f>
                        </m:e>
                      </m:d>
                    </m:e>
                  </m:d>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Para</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valores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mayores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a</m:t>
                  </m:r>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e>
              </m:eqArr>
            </m:e>
          </m:d>
        </m:oMath>
      </m:oMathPara>
    </w:p>
    <w:p w14:paraId="7C46912A"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3A3BEB59" w14:textId="77777777" w:rsidR="00DE1F93" w:rsidRPr="00283E81" w:rsidRDefault="00573863" w:rsidP="003400E2">
      <w:pPr>
        <w:pStyle w:val="Prrafodelista"/>
        <w:numPr>
          <w:ilvl w:val="0"/>
          <w:numId w:val="99"/>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X</m:t>
                </m:r>
              </m:e>
              <m:sub>
                <m:r>
                  <m:rPr>
                    <m:sty m:val="p"/>
                  </m:rPr>
                  <w:rPr>
                    <w:rFonts w:ascii="Cambria Math" w:hAnsi="Cambria Math" w:cs="Arial"/>
                    <w:color w:val="000000" w:themeColor="text1"/>
                    <w:lang w:eastAsia="es-ES"/>
                  </w:rPr>
                  <m:t>B</m:t>
                </m:r>
              </m:sub>
            </m:sSub>
          </m:e>
        </m:acc>
      </m:oMath>
      <w:r w:rsidR="00DE1F93" w:rsidRPr="00283E81">
        <w:rPr>
          <w:rFonts w:ascii="Garamond" w:hAnsi="Garamond" w:cs="Arial"/>
          <w:color w:val="000000" w:themeColor="text1"/>
          <w:lang w:eastAsia="es-ES"/>
        </w:rPr>
        <w:t>: Es la media aritmética baja.</w:t>
      </w:r>
    </w:p>
    <w:p w14:paraId="27C08F2C" w14:textId="77777777" w:rsidR="00DE1F93" w:rsidRPr="00283E81" w:rsidRDefault="00573863" w:rsidP="003400E2">
      <w:pPr>
        <w:pStyle w:val="Prrafodelista"/>
        <w:numPr>
          <w:ilvl w:val="0"/>
          <w:numId w:val="99"/>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21415CA9" w14:textId="77777777" w:rsidR="00DE1F93" w:rsidRPr="00283E81" w:rsidRDefault="00DE1F93" w:rsidP="00DE1F93">
      <w:pPr>
        <w:spacing w:after="120"/>
        <w:jc w:val="both"/>
        <w:rPr>
          <w:rFonts w:ascii="Garamond" w:hAnsi="Garamond" w:cs="Arial"/>
          <w:sz w:val="22"/>
          <w:szCs w:val="22"/>
          <w:lang w:val="es-MX"/>
        </w:rPr>
      </w:pPr>
      <w:r w:rsidRPr="00283E81">
        <w:rPr>
          <w:rFonts w:ascii="Garamond" w:hAnsi="Garamond" w:cs="Arial"/>
          <w:sz w:val="22"/>
          <w:szCs w:val="22"/>
          <w:lang w:val="es-MX"/>
        </w:rPr>
        <w:t xml:space="preserve">Para efectos de ponderar propuestas cuyo valor sea mayor a </w:t>
      </w:r>
      <m:oMath>
        <m:acc>
          <m:accPr>
            <m:chr m:val="̅"/>
            <m:ctrlPr>
              <w:rPr>
                <w:rFonts w:ascii="Cambria Math" w:hAnsi="Cambria Math" w:cs="Arial"/>
                <w:i/>
                <w:sz w:val="22"/>
                <w:szCs w:val="22"/>
              </w:rPr>
            </m:ctrlPr>
          </m:accPr>
          <m:e>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B</m:t>
                </m:r>
              </m:sub>
            </m:sSub>
          </m:e>
        </m:acc>
      </m:oMath>
      <w:r w:rsidRPr="00283E81">
        <w:rPr>
          <w:rFonts w:ascii="Garamond" w:hAnsi="Garamond" w:cs="Arial"/>
          <w:sz w:val="22"/>
          <w:szCs w:val="22"/>
          <w:lang w:val="es-MX"/>
        </w:rPr>
        <w:t>, se tomará el valor absoluto de la diferencia entre la media aritmética baja y el valor total corregido de cada una de las propuestas.</w:t>
      </w:r>
    </w:p>
    <w:p w14:paraId="638C726B" w14:textId="77777777" w:rsidR="00DE1F93" w:rsidRPr="00283E81" w:rsidRDefault="00DE1F93" w:rsidP="00DE1F93">
      <w:pPr>
        <w:pStyle w:val="Prrafodelista"/>
        <w:rPr>
          <w:rFonts w:ascii="Garamond" w:hAnsi="Garamond" w:cs="Arial"/>
          <w:color w:val="000000" w:themeColor="text1"/>
          <w:lang w:eastAsia="es-ES"/>
        </w:rPr>
      </w:pPr>
    </w:p>
    <w:p w14:paraId="1E0E6776" w14:textId="77777777" w:rsidR="00DE1F93" w:rsidRPr="00283E81" w:rsidRDefault="00DE1F93" w:rsidP="00DE1F93">
      <w:pPr>
        <w:pStyle w:val="Prrafodelista"/>
        <w:rPr>
          <w:rFonts w:ascii="Garamond" w:hAnsi="Garamond" w:cs="Arial"/>
          <w:color w:val="000000" w:themeColor="text1"/>
          <w:lang w:eastAsia="es-ES"/>
        </w:rPr>
      </w:pPr>
    </w:p>
    <w:p w14:paraId="29A3E59F" w14:textId="77777777" w:rsidR="00DE1F93" w:rsidRPr="00283E81" w:rsidRDefault="00DE1F93" w:rsidP="003400E2">
      <w:pPr>
        <w:pStyle w:val="Prrafodelista"/>
        <w:numPr>
          <w:ilvl w:val="2"/>
          <w:numId w:val="84"/>
        </w:numPr>
        <w:tabs>
          <w:tab w:val="left" w:pos="-142"/>
        </w:tabs>
        <w:autoSpaceDE w:val="0"/>
        <w:autoSpaceDN w:val="0"/>
        <w:adjustRightInd w:val="0"/>
        <w:spacing w:before="120" w:after="240" w:line="276" w:lineRule="auto"/>
        <w:rPr>
          <w:rFonts w:ascii="Garamond" w:eastAsia="Arial,Times New Roman" w:hAnsi="Garamond" w:cs="Arial"/>
          <w:b/>
          <w:color w:val="000000" w:themeColor="text1"/>
          <w:lang w:eastAsia="es-ES"/>
        </w:rPr>
      </w:pPr>
      <w:r w:rsidRPr="00283E81">
        <w:rPr>
          <w:rFonts w:ascii="Garamond" w:eastAsia="Arial,Times New Roman" w:hAnsi="Garamond" w:cs="Arial"/>
          <w:b/>
          <w:color w:val="000000" w:themeColor="text1"/>
          <w:lang w:eastAsia="es-ES"/>
        </w:rPr>
        <w:t>Menor Valor</w:t>
      </w:r>
    </w:p>
    <w:p w14:paraId="0FACD0BE"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eastAsia="es-ES"/>
        </w:rPr>
        <w:t>Entidad otorgará el máximo puntaje a la oferta económica hábil para calificación económica de menor valor.</w:t>
      </w:r>
    </w:p>
    <w:p w14:paraId="73D0C38A" w14:textId="77777777" w:rsidR="00DE1F93" w:rsidRPr="00283E81" w:rsidRDefault="00DE1F93" w:rsidP="00DE1F93">
      <w:pPr>
        <w:jc w:val="both"/>
        <w:rPr>
          <w:rFonts w:ascii="Garamond" w:hAnsi="Garamond" w:cs="Arial"/>
          <w:color w:val="000000" w:themeColor="text1"/>
          <w:sz w:val="22"/>
          <w:szCs w:val="22"/>
          <w:lang w:eastAsia="es-ES"/>
        </w:rPr>
      </w:pPr>
    </w:p>
    <w:p w14:paraId="2AEA8004" w14:textId="77777777" w:rsidR="00DE1F93" w:rsidRPr="00283E81" w:rsidRDefault="00573863" w:rsidP="00DE1F93">
      <w:pPr>
        <w:jc w:val="both"/>
        <w:rPr>
          <w:rFonts w:ascii="Garamond" w:hAnsi="Garamond" w:cs="Arial"/>
          <w:iCs/>
          <w:color w:val="000000" w:themeColor="text1"/>
          <w:sz w:val="22"/>
          <w:szCs w:val="22"/>
          <w:lang w:eastAsia="es-ES"/>
        </w:rPr>
      </w:pPr>
      <m:oMathPara>
        <m:oMath>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í</m:t>
          </m:r>
          <m:r>
            <w:rPr>
              <w:rFonts w:ascii="Cambria Math" w:hAnsi="Cambria Math" w:cs="Arial"/>
              <w:color w:val="000000" w:themeColor="text1"/>
              <w:sz w:val="22"/>
              <w:szCs w:val="22"/>
              <w:lang w:eastAsia="es-ES"/>
            </w:rPr>
            <m:t>nimo</m:t>
          </m:r>
          <m:r>
            <m:rPr>
              <m:sty m:val="p"/>
            </m:rPr>
            <w:rPr>
              <w:rFonts w:ascii="Cambria Math" w:hAnsi="Cambria Math" w:cs="Arial"/>
              <w:color w:val="000000" w:themeColor="text1"/>
              <w:sz w:val="22"/>
              <w:szCs w:val="22"/>
              <w:lang w:eastAsia="es-ES"/>
            </w:rPr>
            <m:t xml:space="preserve"> (</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m:t>
              </m:r>
            </m:sub>
          </m:sSub>
          <m:r>
            <m:rPr>
              <m:sty m:val="p"/>
            </m:rPr>
            <w:rPr>
              <w:rFonts w:ascii="Cambria Math" w:hAnsi="Cambria Math" w:cs="Arial"/>
              <w:color w:val="000000" w:themeColor="text1"/>
              <w:sz w:val="22"/>
              <w:szCs w:val="22"/>
              <w:lang w:eastAsia="es-ES"/>
            </w:rPr>
            <m:t>)</m:t>
          </m:r>
        </m:oMath>
      </m:oMathPara>
    </w:p>
    <w:p w14:paraId="013DEF1A"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400A5D29" w14:textId="77777777" w:rsidR="00DE1F93" w:rsidRPr="00283E81" w:rsidRDefault="00573863" w:rsidP="003400E2">
      <w:pPr>
        <w:pStyle w:val="Prrafodelista"/>
        <w:numPr>
          <w:ilvl w:val="0"/>
          <w:numId w:val="100"/>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68A4C7E2" w14:textId="77777777" w:rsidR="00DE1F93" w:rsidRPr="00283E81" w:rsidRDefault="00DE1F93" w:rsidP="003400E2">
      <w:pPr>
        <w:pStyle w:val="Prrafodelista"/>
        <w:numPr>
          <w:ilvl w:val="0"/>
          <w:numId w:val="100"/>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 Es el número total de propuestas económicas válidas recibidas por la Entidad.</w:t>
      </w:r>
    </w:p>
    <w:p w14:paraId="1495142D" w14:textId="77777777" w:rsidR="00DE1F93" w:rsidRPr="00283E81" w:rsidRDefault="00573863" w:rsidP="003400E2">
      <w:pPr>
        <w:pStyle w:val="Prrafodelista"/>
        <w:numPr>
          <w:ilvl w:val="0"/>
          <w:numId w:val="100"/>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3633CB7B"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La Entidad procederá a ponderar las otras propuestas de acuerdo con la siguiente fórmula: </w:t>
      </w:r>
    </w:p>
    <w:p w14:paraId="7C11EBF2" w14:textId="77777777" w:rsidR="00DE1F93" w:rsidRPr="00283E81" w:rsidRDefault="00DE1F93" w:rsidP="00DE1F93">
      <w:pPr>
        <w:jc w:val="both"/>
        <w:rPr>
          <w:rFonts w:ascii="Garamond" w:hAnsi="Garamond" w:cs="Arial"/>
          <w:color w:val="000000" w:themeColor="text1"/>
          <w:sz w:val="22"/>
          <w:szCs w:val="22"/>
          <w:lang w:eastAsia="es-ES"/>
        </w:rPr>
      </w:pPr>
    </w:p>
    <w:p w14:paraId="5695A0F1"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f>
            <m:fPr>
              <m:ctrlPr>
                <w:rPr>
                  <w:rFonts w:ascii="Cambria Math" w:hAnsi="Cambria Math" w:cs="Arial"/>
                  <w:iCs/>
                  <w:color w:val="000000" w:themeColor="text1"/>
                  <w:sz w:val="22"/>
                  <w:szCs w:val="22"/>
                  <w:lang w:eastAsia="es-ES"/>
                </w:rPr>
              </m:ctrlPr>
            </m:fPr>
            <m:num>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num>
            <m:den>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den>
          </m:f>
        </m:oMath>
      </m:oMathPara>
    </w:p>
    <w:p w14:paraId="454C2B78"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162C8658" w14:textId="77777777" w:rsidR="00DE1F93" w:rsidRPr="00283E81" w:rsidRDefault="00DE1F93" w:rsidP="00DE1F93">
      <w:pPr>
        <w:jc w:val="both"/>
        <w:rPr>
          <w:rFonts w:ascii="Garamond" w:hAnsi="Garamond" w:cs="Arial"/>
          <w:color w:val="000000" w:themeColor="text1"/>
          <w:sz w:val="22"/>
          <w:szCs w:val="22"/>
          <w:lang w:eastAsia="es-ES"/>
        </w:rPr>
      </w:pPr>
    </w:p>
    <w:p w14:paraId="452A9916" w14:textId="77777777" w:rsidR="00DE1F93" w:rsidRPr="00283E81" w:rsidRDefault="00573863" w:rsidP="003400E2">
      <w:pPr>
        <w:pStyle w:val="Prrafodelista"/>
        <w:numPr>
          <w:ilvl w:val="0"/>
          <w:numId w:val="101"/>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0E3FC6E6" w14:textId="77777777" w:rsidR="00DE1F93" w:rsidRPr="00283E81" w:rsidRDefault="00573863" w:rsidP="003400E2">
      <w:pPr>
        <w:pStyle w:val="Prrafodelista"/>
        <w:numPr>
          <w:ilvl w:val="0"/>
          <w:numId w:val="101"/>
        </w:numPr>
        <w:spacing w:line="276" w:lineRule="auto"/>
        <w:rPr>
          <w:rFonts w:ascii="Garamond" w:hAnsi="Garamond" w:cs="Arial"/>
          <w:color w:val="000000" w:themeColor="text1"/>
          <w:lang w:val="x-none"/>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xml:space="preserve">: Es el valor total corregido de cada una de las propuestas “i”. </w:t>
      </w:r>
      <w:bookmarkEnd w:id="49"/>
    </w:p>
    <w:p w14:paraId="3FBE1A3B" w14:textId="77777777" w:rsidR="00DE1F93" w:rsidRPr="00283E81" w:rsidRDefault="00DE1F93" w:rsidP="003400E2">
      <w:pPr>
        <w:pStyle w:val="Capitulo3"/>
        <w:numPr>
          <w:ilvl w:val="1"/>
          <w:numId w:val="90"/>
        </w:numPr>
        <w:spacing w:after="160"/>
        <w:rPr>
          <w:rFonts w:ascii="Garamond" w:hAnsi="Garamond"/>
          <w:sz w:val="22"/>
          <w:szCs w:val="22"/>
        </w:rPr>
      </w:pPr>
      <w:bookmarkStart w:id="50" w:name="_Toc32147370"/>
      <w:bookmarkStart w:id="51" w:name="_Toc206147397"/>
      <w:bookmarkEnd w:id="47"/>
      <w:r w:rsidRPr="00283E81">
        <w:rPr>
          <w:rFonts w:ascii="Garamond" w:hAnsi="Garamond"/>
          <w:sz w:val="22"/>
          <w:szCs w:val="22"/>
        </w:rPr>
        <w:t>FACTOR DE CALIDAD</w:t>
      </w:r>
      <w:bookmarkEnd w:id="50"/>
      <w:bookmarkEnd w:id="51"/>
      <w:r w:rsidRPr="00283E81">
        <w:rPr>
          <w:rFonts w:ascii="Garamond" w:hAnsi="Garamond"/>
          <w:sz w:val="22"/>
          <w:szCs w:val="22"/>
        </w:rPr>
        <w:t xml:space="preserve"> </w:t>
      </w:r>
    </w:p>
    <w:p w14:paraId="7B011781" w14:textId="77777777" w:rsidR="00DE1F93" w:rsidRPr="00283E81" w:rsidRDefault="00DE1F93" w:rsidP="00DE1F93">
      <w:pPr>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val="es-MX"/>
        </w:rPr>
        <w:t>Entidad asignará el puntaje de factor de calidad como sigue:</w:t>
      </w:r>
    </w:p>
    <w:tbl>
      <w:tblPr>
        <w:tblStyle w:val="Tablaconcuadrcula"/>
        <w:tblW w:w="0" w:type="auto"/>
        <w:jc w:val="center"/>
        <w:tblLook w:val="04A0" w:firstRow="1" w:lastRow="0" w:firstColumn="1" w:lastColumn="0" w:noHBand="0" w:noVBand="1"/>
      </w:tblPr>
      <w:tblGrid>
        <w:gridCol w:w="3469"/>
        <w:gridCol w:w="929"/>
      </w:tblGrid>
      <w:tr w:rsidR="00DE1F93" w:rsidRPr="00283E81" w14:paraId="75A94C13" w14:textId="77777777" w:rsidTr="00973732">
        <w:trPr>
          <w:trHeight w:val="283"/>
          <w:tblHeader/>
          <w:jc w:val="center"/>
        </w:trPr>
        <w:tc>
          <w:tcPr>
            <w:tcW w:w="0" w:type="auto"/>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73EFBA67" w14:textId="77777777" w:rsidR="00DE1F93" w:rsidRPr="00283E81" w:rsidRDefault="00DE1F93" w:rsidP="00973732">
            <w:pPr>
              <w:spacing w:line="276" w:lineRule="auto"/>
              <w:jc w:val="center"/>
              <w:rPr>
                <w:rFonts w:ascii="Garamond" w:eastAsia="Arial" w:hAnsi="Garamond" w:cs="Arial"/>
                <w:b/>
                <w:bCs/>
                <w:color w:val="C4BC96" w:themeColor="background2" w:themeShade="BF"/>
                <w:sz w:val="22"/>
                <w:szCs w:val="22"/>
              </w:rPr>
            </w:pPr>
            <w:r w:rsidRPr="00283E81">
              <w:rPr>
                <w:rFonts w:ascii="Garamond" w:hAnsi="Garamond" w:cs="Arial"/>
                <w:b/>
                <w:bCs/>
                <w:color w:val="C4BC96" w:themeColor="background2" w:themeShade="BF"/>
                <w:sz w:val="22"/>
                <w:szCs w:val="22"/>
              </w:rPr>
              <w:t>Concepto</w:t>
            </w:r>
          </w:p>
        </w:tc>
        <w:tc>
          <w:tcPr>
            <w:tcW w:w="0" w:type="auto"/>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4ECEFC13" w14:textId="77777777" w:rsidR="00DE1F93" w:rsidRPr="00283E81" w:rsidRDefault="00DE1F93" w:rsidP="00973732">
            <w:pPr>
              <w:spacing w:line="276" w:lineRule="auto"/>
              <w:jc w:val="center"/>
              <w:rPr>
                <w:rFonts w:ascii="Garamond" w:eastAsia="Arial" w:hAnsi="Garamond" w:cs="Arial"/>
                <w:b/>
                <w:bCs/>
                <w:color w:val="C4BC96" w:themeColor="background2" w:themeShade="BF"/>
                <w:sz w:val="22"/>
                <w:szCs w:val="22"/>
              </w:rPr>
            </w:pPr>
            <w:r w:rsidRPr="00283E81">
              <w:rPr>
                <w:rFonts w:ascii="Garamond" w:hAnsi="Garamond" w:cs="Arial"/>
                <w:b/>
                <w:bCs/>
                <w:color w:val="C4BC96" w:themeColor="background2" w:themeShade="BF"/>
                <w:sz w:val="22"/>
                <w:szCs w:val="22"/>
              </w:rPr>
              <w:t xml:space="preserve">Puntaje </w:t>
            </w:r>
          </w:p>
        </w:tc>
      </w:tr>
      <w:tr w:rsidR="00DE1F93" w:rsidRPr="00283E81" w14:paraId="44C4747F"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5DC0B697" w14:textId="787DA5F3" w:rsidR="00DE1F93" w:rsidRPr="00283E81" w:rsidRDefault="00DE1F93" w:rsidP="002077D8">
            <w:pPr>
              <w:tabs>
                <w:tab w:val="left" w:pos="709"/>
                <w:tab w:val="left" w:pos="1039"/>
              </w:tabs>
              <w:spacing w:line="276" w:lineRule="auto"/>
              <w:ind w:left="164" w:firstLine="142"/>
              <w:jc w:val="center"/>
              <w:rPr>
                <w:rFonts w:ascii="Garamond" w:hAnsi="Garamond" w:cs="Arial"/>
                <w:sz w:val="22"/>
                <w:szCs w:val="22"/>
              </w:rPr>
            </w:pPr>
          </w:p>
          <w:p w14:paraId="4529A97A" w14:textId="00C11EB8" w:rsidR="00DE1F93" w:rsidRPr="00283E81" w:rsidRDefault="00283E81" w:rsidP="00973732">
            <w:pPr>
              <w:tabs>
                <w:tab w:val="left" w:pos="709"/>
                <w:tab w:val="left" w:pos="1039"/>
              </w:tabs>
              <w:spacing w:line="276" w:lineRule="auto"/>
              <w:ind w:left="164" w:firstLine="142"/>
              <w:jc w:val="center"/>
              <w:rPr>
                <w:rFonts w:ascii="Garamond" w:hAnsi="Garamond" w:cs="Arial"/>
                <w:sz w:val="22"/>
                <w:szCs w:val="22"/>
                <w:lang w:val="es-ES"/>
              </w:rPr>
            </w:pPr>
            <w:r w:rsidRPr="00283E81">
              <w:rPr>
                <w:rFonts w:ascii="Garamond" w:hAnsi="Garamond" w:cs="Arial"/>
                <w:sz w:val="22"/>
                <w:szCs w:val="22"/>
                <w:lang w:val="es-ES"/>
              </w:rPr>
              <w:t>Presentación de un plan de calidad</w:t>
            </w:r>
          </w:p>
          <w:p w14:paraId="6A57995D" w14:textId="08215E16" w:rsidR="00DE1F93" w:rsidRPr="00283E81" w:rsidRDefault="00DE1F93" w:rsidP="00973732">
            <w:pPr>
              <w:tabs>
                <w:tab w:val="left" w:pos="1039"/>
              </w:tabs>
              <w:spacing w:line="276" w:lineRule="auto"/>
              <w:jc w:val="center"/>
              <w:rPr>
                <w:rFonts w:ascii="Garamond" w:eastAsia="Arial" w:hAnsi="Garamond" w:cs="Arial"/>
                <w:color w:val="000000" w:themeColor="text1"/>
                <w:sz w:val="22"/>
                <w:szCs w:val="22"/>
              </w:rPr>
            </w:pPr>
          </w:p>
        </w:tc>
        <w:tc>
          <w:tcPr>
            <w:tcW w:w="0" w:type="auto"/>
            <w:tcBorders>
              <w:top w:val="single" w:sz="4" w:space="0" w:color="auto"/>
              <w:left w:val="single" w:sz="4" w:space="0" w:color="auto"/>
              <w:bottom w:val="single" w:sz="4" w:space="0" w:color="auto"/>
              <w:right w:val="double" w:sz="4" w:space="0" w:color="auto"/>
            </w:tcBorders>
            <w:vAlign w:val="center"/>
            <w:hideMark/>
          </w:tcPr>
          <w:p w14:paraId="3DA38224" w14:textId="77777777" w:rsidR="00DE1F93" w:rsidRPr="00283E81" w:rsidRDefault="00DE1F93" w:rsidP="00973732">
            <w:pPr>
              <w:spacing w:line="276" w:lineRule="auto"/>
              <w:jc w:val="center"/>
              <w:rPr>
                <w:rFonts w:ascii="Garamond" w:eastAsia="Arial" w:hAnsi="Garamond" w:cs="Arial"/>
                <w:color w:val="000000" w:themeColor="text1"/>
                <w:sz w:val="22"/>
                <w:szCs w:val="22"/>
              </w:rPr>
            </w:pPr>
            <w:r w:rsidRPr="00283E81">
              <w:rPr>
                <w:rFonts w:ascii="Garamond" w:hAnsi="Garamond" w:cs="Arial"/>
                <w:color w:val="000000" w:themeColor="text1"/>
                <w:sz w:val="22"/>
                <w:szCs w:val="22"/>
                <w:lang w:val="es-ES" w:eastAsia="es-CO"/>
              </w:rPr>
              <w:t>10</w:t>
            </w:r>
          </w:p>
        </w:tc>
      </w:tr>
      <w:tr w:rsidR="00DE1F93" w:rsidRPr="00283E81" w14:paraId="7B350F14"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tcPr>
          <w:p w14:paraId="3FB608AC" w14:textId="4915B411" w:rsidR="00DE1F93" w:rsidRPr="00283E81" w:rsidRDefault="00DE1F93" w:rsidP="002077D8">
            <w:pPr>
              <w:tabs>
                <w:tab w:val="left" w:pos="709"/>
                <w:tab w:val="left" w:pos="1039"/>
              </w:tabs>
              <w:spacing w:line="276" w:lineRule="auto"/>
              <w:ind w:left="164" w:firstLine="142"/>
              <w:rPr>
                <w:rFonts w:ascii="Garamond" w:hAnsi="Garamond" w:cs="Arial"/>
                <w:sz w:val="22"/>
                <w:szCs w:val="22"/>
                <w:lang w:val="es-ES" w:eastAsia="es-CO"/>
              </w:rPr>
            </w:pPr>
          </w:p>
          <w:p w14:paraId="457794D6" w14:textId="014AF7F1" w:rsidR="00DE1F93" w:rsidRPr="00283E81" w:rsidRDefault="00DE1F93" w:rsidP="00973732">
            <w:pPr>
              <w:tabs>
                <w:tab w:val="left" w:pos="709"/>
                <w:tab w:val="left" w:pos="1039"/>
              </w:tabs>
              <w:spacing w:line="276" w:lineRule="auto"/>
              <w:ind w:left="164" w:firstLine="142"/>
              <w:jc w:val="center"/>
              <w:rPr>
                <w:rFonts w:ascii="Garamond" w:eastAsia="Arial,Times New Roman" w:hAnsi="Garamond" w:cs="Arial"/>
                <w:sz w:val="22"/>
                <w:szCs w:val="22"/>
                <w:lang w:val="es-ES" w:eastAsia="es-CO"/>
              </w:rPr>
            </w:pPr>
            <w:r w:rsidRPr="00283E81">
              <w:rPr>
                <w:rFonts w:ascii="Garamond" w:eastAsia="Arial,Times New Roman" w:hAnsi="Garamond" w:cs="Arial"/>
                <w:sz w:val="22"/>
                <w:szCs w:val="22"/>
                <w:lang w:val="es-ES" w:eastAsia="es-CO"/>
              </w:rPr>
              <w:t>(i) Criterio ambiental (5)</w:t>
            </w:r>
          </w:p>
          <w:p w14:paraId="1795B43B" w14:textId="77777777" w:rsidR="00DE1F93" w:rsidRPr="00283E81" w:rsidRDefault="00DE1F93" w:rsidP="00973732">
            <w:pPr>
              <w:tabs>
                <w:tab w:val="left" w:pos="709"/>
                <w:tab w:val="left" w:pos="1039"/>
              </w:tabs>
              <w:spacing w:line="276" w:lineRule="auto"/>
              <w:ind w:left="164" w:firstLine="142"/>
              <w:jc w:val="center"/>
              <w:rPr>
                <w:rFonts w:ascii="Garamond" w:hAnsi="Garamond" w:cs="Arial"/>
                <w:sz w:val="22"/>
                <w:szCs w:val="22"/>
                <w:lang w:val="es-ES"/>
              </w:rPr>
            </w:pPr>
            <w:proofErr w:type="spellStart"/>
            <w:r w:rsidRPr="00283E81">
              <w:rPr>
                <w:rFonts w:ascii="Garamond" w:eastAsia="Arial,Times New Roman" w:hAnsi="Garamond" w:cs="Arial"/>
                <w:sz w:val="22"/>
                <w:szCs w:val="22"/>
                <w:lang w:val="es-ES" w:eastAsia="es-CO"/>
              </w:rPr>
              <w:t>ii</w:t>
            </w:r>
            <w:proofErr w:type="spellEnd"/>
            <w:r w:rsidRPr="00283E81">
              <w:rPr>
                <w:rFonts w:ascii="Garamond" w:eastAsia="Arial,Times New Roman" w:hAnsi="Garamond" w:cs="Arial"/>
                <w:sz w:val="22"/>
                <w:szCs w:val="22"/>
                <w:lang w:val="es-ES" w:eastAsia="es-CO"/>
              </w:rPr>
              <w:t>) Criterio Social (5)</w:t>
            </w:r>
          </w:p>
        </w:tc>
        <w:tc>
          <w:tcPr>
            <w:tcW w:w="0" w:type="auto"/>
            <w:tcBorders>
              <w:top w:val="single" w:sz="4" w:space="0" w:color="auto"/>
              <w:left w:val="single" w:sz="4" w:space="0" w:color="auto"/>
              <w:bottom w:val="single" w:sz="4" w:space="0" w:color="auto"/>
              <w:right w:val="double" w:sz="4" w:space="0" w:color="auto"/>
            </w:tcBorders>
            <w:vAlign w:val="center"/>
          </w:tcPr>
          <w:p w14:paraId="652FF0C8" w14:textId="7F389F38" w:rsidR="00DE1F93" w:rsidRPr="00283E81" w:rsidDel="00C00CE6" w:rsidRDefault="00283E81"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w:t>
            </w:r>
            <w:r w:rsidR="00DE1F93" w:rsidRPr="00283E81">
              <w:rPr>
                <w:rFonts w:ascii="Garamond" w:hAnsi="Garamond" w:cs="Arial"/>
                <w:color w:val="000000" w:themeColor="text1"/>
                <w:sz w:val="22"/>
                <w:szCs w:val="22"/>
                <w:lang w:val="es-ES" w:eastAsia="es-CO"/>
              </w:rPr>
              <w:t>0</w:t>
            </w:r>
          </w:p>
        </w:tc>
      </w:tr>
      <w:tr w:rsidR="00283E81" w:rsidRPr="00283E81" w14:paraId="7A1E8E6D"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tcPr>
          <w:p w14:paraId="1E1BCF87" w14:textId="4190522D" w:rsidR="00283E81" w:rsidRPr="00283E81" w:rsidRDefault="00283E81" w:rsidP="002077D8">
            <w:pPr>
              <w:tabs>
                <w:tab w:val="left" w:pos="709"/>
                <w:tab w:val="left" w:pos="1039"/>
              </w:tabs>
              <w:spacing w:line="276" w:lineRule="auto"/>
              <w:ind w:left="164" w:firstLine="142"/>
              <w:rPr>
                <w:rFonts w:ascii="Garamond" w:hAnsi="Garamond" w:cs="Arial"/>
                <w:sz w:val="22"/>
                <w:szCs w:val="22"/>
                <w:lang w:val="es-ES" w:eastAsia="es-CO"/>
              </w:rPr>
            </w:pPr>
            <w:r w:rsidRPr="00283E81">
              <w:rPr>
                <w:rFonts w:ascii="Garamond" w:hAnsi="Garamond" w:cs="Arial"/>
                <w:sz w:val="22"/>
                <w:szCs w:val="22"/>
                <w:lang w:val="es-ES" w:eastAsia="es-CO"/>
              </w:rPr>
              <w:t>Experiencia especifica adicional</w:t>
            </w:r>
          </w:p>
        </w:tc>
        <w:tc>
          <w:tcPr>
            <w:tcW w:w="0" w:type="auto"/>
            <w:tcBorders>
              <w:top w:val="single" w:sz="4" w:space="0" w:color="auto"/>
              <w:left w:val="single" w:sz="4" w:space="0" w:color="auto"/>
              <w:bottom w:val="single" w:sz="4" w:space="0" w:color="auto"/>
              <w:right w:val="double" w:sz="4" w:space="0" w:color="auto"/>
            </w:tcBorders>
            <w:vAlign w:val="center"/>
          </w:tcPr>
          <w:p w14:paraId="2BF53C7F" w14:textId="0DBF4712" w:rsidR="00283E81" w:rsidRPr="00283E81" w:rsidRDefault="00283E81"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10</w:t>
            </w:r>
          </w:p>
        </w:tc>
      </w:tr>
      <w:tr w:rsidR="00DE1F93" w:rsidRPr="00283E81" w14:paraId="54F0E1E3" w14:textId="77777777" w:rsidTr="00973732">
        <w:trPr>
          <w:tblHeader/>
          <w:jc w:val="center"/>
        </w:trPr>
        <w:tc>
          <w:tcPr>
            <w:tcW w:w="0" w:type="auto"/>
            <w:tcBorders>
              <w:top w:val="single" w:sz="4" w:space="0" w:color="auto"/>
              <w:left w:val="double" w:sz="4" w:space="0" w:color="auto"/>
              <w:bottom w:val="double" w:sz="4" w:space="0" w:color="auto"/>
              <w:right w:val="single" w:sz="4" w:space="0" w:color="auto"/>
            </w:tcBorders>
            <w:vAlign w:val="center"/>
            <w:hideMark/>
          </w:tcPr>
          <w:p w14:paraId="3D907E15" w14:textId="77777777" w:rsidR="00DE1F93" w:rsidRPr="00283E81" w:rsidRDefault="00DE1F93" w:rsidP="00973732">
            <w:pPr>
              <w:spacing w:line="276" w:lineRule="auto"/>
              <w:jc w:val="center"/>
              <w:rPr>
                <w:rFonts w:ascii="Garamond" w:eastAsia="Arial" w:hAnsi="Garamond" w:cs="Arial"/>
                <w:color w:val="000000" w:themeColor="text1"/>
                <w:sz w:val="22"/>
                <w:szCs w:val="22"/>
              </w:rPr>
            </w:pPr>
            <w:r w:rsidRPr="00283E81">
              <w:rPr>
                <w:rFonts w:ascii="Garamond" w:hAnsi="Garamond" w:cs="Arial"/>
                <w:color w:val="000000" w:themeColor="text1"/>
                <w:sz w:val="22"/>
                <w:szCs w:val="22"/>
                <w:lang w:val="es-ES" w:eastAsia="es-CO"/>
              </w:rPr>
              <w:t>Total</w:t>
            </w:r>
          </w:p>
        </w:tc>
        <w:tc>
          <w:tcPr>
            <w:tcW w:w="0" w:type="auto"/>
            <w:tcBorders>
              <w:top w:val="single" w:sz="4" w:space="0" w:color="auto"/>
              <w:left w:val="single" w:sz="4" w:space="0" w:color="auto"/>
              <w:bottom w:val="double" w:sz="4" w:space="0" w:color="auto"/>
              <w:right w:val="double" w:sz="4" w:space="0" w:color="auto"/>
            </w:tcBorders>
            <w:vAlign w:val="center"/>
            <w:hideMark/>
          </w:tcPr>
          <w:p w14:paraId="6B41C35E"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30</w:t>
            </w:r>
          </w:p>
        </w:tc>
      </w:tr>
    </w:tbl>
    <w:p w14:paraId="38169B4E" w14:textId="77777777" w:rsidR="00DE1F93" w:rsidRPr="00283E81" w:rsidRDefault="00DE1F93" w:rsidP="00DE1F93">
      <w:pPr>
        <w:jc w:val="both"/>
        <w:rPr>
          <w:rFonts w:ascii="Garamond" w:hAnsi="Garamond" w:cs="Arial"/>
          <w:sz w:val="22"/>
          <w:szCs w:val="22"/>
          <w:highlight w:val="lightGray"/>
        </w:rPr>
      </w:pPr>
    </w:p>
    <w:p w14:paraId="756F131D" w14:textId="77777777" w:rsidR="00DE1F93" w:rsidRPr="00283E81" w:rsidRDefault="00DE1F93" w:rsidP="00DE1F93">
      <w:pPr>
        <w:spacing w:line="276" w:lineRule="auto"/>
        <w:jc w:val="both"/>
        <w:rPr>
          <w:rFonts w:ascii="Garamond" w:hAnsi="Garamond" w:cs="Arial"/>
          <w:sz w:val="22"/>
          <w:szCs w:val="22"/>
        </w:rPr>
      </w:pPr>
      <w:r w:rsidRPr="00283E81">
        <w:rPr>
          <w:rFonts w:ascii="Garamond" w:hAnsi="Garamond" w:cs="Arial"/>
          <w:sz w:val="22"/>
          <w:szCs w:val="22"/>
        </w:rPr>
        <w:t xml:space="preserve">Las Entidades Estatales deben consultar y analizar las anotaciones vigentes que reposen en el Registro Nacional de Obras Civiles Inconclusas, de que trata la Ley 2020 de 2020. En el evento que las personas naturales o jurídicas, nacionales o extranjeras domiciliadas o con sucursal en Colombia, o integrantes de Proponentes Plurales, cuenten con alguna anotación vigente de obra civil inconclusa, en el mencionado registro, se descontará un (1) punto de la sumatoria obtenida en relación con el factor de calidad. </w:t>
      </w:r>
    </w:p>
    <w:p w14:paraId="413D3420" w14:textId="77777777" w:rsidR="00DE1F93" w:rsidRPr="00283E81" w:rsidRDefault="00DE1F93" w:rsidP="00DE1F93">
      <w:pPr>
        <w:spacing w:line="276" w:lineRule="auto"/>
        <w:jc w:val="both"/>
        <w:rPr>
          <w:rFonts w:ascii="Garamond" w:hAnsi="Garamond" w:cs="Arial"/>
          <w:sz w:val="22"/>
          <w:szCs w:val="22"/>
        </w:rPr>
      </w:pPr>
      <w:r w:rsidRPr="00283E81">
        <w:rPr>
          <w:rFonts w:ascii="Garamond" w:hAnsi="Garamond" w:cs="Arial"/>
          <w:sz w:val="22"/>
          <w:szCs w:val="22"/>
        </w:rPr>
        <w:t xml:space="preserve">En todo caso, no se descontará el puntaje en los términos previstos en el inciso anterior cuando el Proponente no oferte el factor de calidad, por lo que éste obtendrá cero (0) puntos en este criterio de evaluación. En esta circunstancia, la Entidad no podrá reducir el puntaje de la sumatoria obtenida en los demás factores de ponderación. </w:t>
      </w:r>
    </w:p>
    <w:p w14:paraId="29D4C3F5" w14:textId="7F0B122F" w:rsidR="00DE1F93" w:rsidRPr="00283E81" w:rsidRDefault="00A91CC2" w:rsidP="003400E2">
      <w:pPr>
        <w:pStyle w:val="InviasNormal"/>
        <w:numPr>
          <w:ilvl w:val="2"/>
          <w:numId w:val="88"/>
        </w:numPr>
        <w:spacing w:line="276" w:lineRule="auto"/>
        <w:outlineLvl w:val="2"/>
        <w:rPr>
          <w:rFonts w:ascii="Garamond" w:eastAsia="Arial" w:hAnsi="Garamond" w:cs="Arial"/>
          <w:b/>
          <w:color w:val="000000" w:themeColor="text1"/>
          <w:sz w:val="22"/>
          <w:szCs w:val="22"/>
          <w:lang w:val="es-CO"/>
        </w:rPr>
      </w:pPr>
      <w:bookmarkStart w:id="52" w:name="_Toc192499886"/>
      <w:bookmarkStart w:id="53" w:name="_Toc192854691"/>
      <w:bookmarkEnd w:id="52"/>
      <w:bookmarkEnd w:id="53"/>
      <w:r>
        <w:rPr>
          <w:rFonts w:ascii="Garamond" w:eastAsia="Arial" w:hAnsi="Garamond" w:cs="Arial"/>
          <w:b/>
          <w:color w:val="000000" w:themeColor="text1"/>
          <w:sz w:val="22"/>
          <w:szCs w:val="22"/>
          <w:lang w:val="es-CO"/>
        </w:rPr>
        <w:lastRenderedPageBreak/>
        <w:t>PRESENTACIÓN DE UN PLAN</w:t>
      </w:r>
      <w:r w:rsidR="00283E81" w:rsidRPr="00283E81">
        <w:rPr>
          <w:rFonts w:ascii="Garamond" w:eastAsia="Arial" w:hAnsi="Garamond" w:cs="Arial"/>
          <w:b/>
          <w:color w:val="000000" w:themeColor="text1"/>
          <w:sz w:val="22"/>
          <w:szCs w:val="22"/>
          <w:lang w:val="es-CO"/>
        </w:rPr>
        <w:t xml:space="preserve"> DE CALIDAD</w:t>
      </w:r>
    </w:p>
    <w:p w14:paraId="6F6DC460" w14:textId="42D7636F" w:rsidR="00283E81" w:rsidRPr="00283E81" w:rsidRDefault="00283E81" w:rsidP="00283E81">
      <w:pPr>
        <w:spacing w:line="276" w:lineRule="auto"/>
        <w:jc w:val="both"/>
        <w:rPr>
          <w:rFonts w:ascii="Garamond" w:eastAsia="Arial" w:hAnsi="Garamond" w:cs="Arial"/>
          <w:color w:val="000000" w:themeColor="text1"/>
          <w:sz w:val="22"/>
          <w:szCs w:val="22"/>
        </w:rPr>
      </w:pPr>
      <w:bookmarkStart w:id="54" w:name="_Toc32147419"/>
      <w:bookmarkStart w:id="55" w:name="_Hlk216382493"/>
      <w:r w:rsidRPr="00283E81">
        <w:rPr>
          <w:rFonts w:ascii="Garamond" w:eastAsia="Arial" w:hAnsi="Garamond" w:cs="Arial"/>
          <w:color w:val="000000" w:themeColor="text1"/>
          <w:sz w:val="22"/>
          <w:szCs w:val="22"/>
        </w:rPr>
        <w:t xml:space="preserve">La entidad asignará un puntaje de diez (10) puntos, al proponente que presente un plan de calidad específico para el proyecto con su propuesta, elaborado conforme a los parámetros establecidos en la última actualización de las normas NTC ISO 9001:2015 y NTC ISO 10005:2018. </w:t>
      </w:r>
    </w:p>
    <w:p w14:paraId="61138E3C" w14:textId="77777777" w:rsidR="00283E81" w:rsidRPr="00283E81" w:rsidRDefault="00283E81" w:rsidP="00283E81">
      <w:pPr>
        <w:spacing w:line="276" w:lineRule="auto"/>
        <w:jc w:val="both"/>
        <w:rPr>
          <w:rFonts w:ascii="Garamond" w:eastAsia="Arial" w:hAnsi="Garamond" w:cs="Arial"/>
          <w:color w:val="000000" w:themeColor="text1"/>
          <w:sz w:val="22"/>
          <w:szCs w:val="22"/>
        </w:rPr>
      </w:pPr>
    </w:p>
    <w:p w14:paraId="48975533" w14:textId="5C0E678C" w:rsidR="00DE1F93" w:rsidRPr="00283E81" w:rsidRDefault="00283E81" w:rsidP="00283E81">
      <w:pPr>
        <w:spacing w:line="276" w:lineRule="auto"/>
        <w:jc w:val="both"/>
        <w:rPr>
          <w:rFonts w:ascii="Garamond" w:hAnsi="Garamond"/>
          <w:sz w:val="22"/>
          <w:szCs w:val="22"/>
          <w:lang w:val="es-MX"/>
        </w:rPr>
      </w:pPr>
      <w:r w:rsidRPr="00283E81">
        <w:rPr>
          <w:rFonts w:ascii="Garamond" w:eastAsia="Arial" w:hAnsi="Garamond" w:cs="Arial"/>
          <w:color w:val="000000" w:themeColor="text1"/>
          <w:sz w:val="22"/>
          <w:szCs w:val="22"/>
        </w:rPr>
        <w:t>Plan de calidad: El plan de calidad se elaborará en relación con el proyecto a ejecutar, por lo que el proponente deberá elaborar y presentar el plan de calidad, para lo cual deberá tener en cuenta las normas técnicas señaladas en el presente numeral, este plan deberá estar elaborado por un profesional con certificado de auditor interno ISO 9001.</w:t>
      </w:r>
      <w:r w:rsidR="00DE1F93" w:rsidRPr="00283E81">
        <w:rPr>
          <w:rFonts w:ascii="Garamond" w:hAnsi="Garamond"/>
          <w:sz w:val="22"/>
          <w:szCs w:val="22"/>
          <w:lang w:val="es-MX"/>
        </w:rPr>
        <w:t xml:space="preserve">  </w:t>
      </w:r>
    </w:p>
    <w:p w14:paraId="2FA757FA" w14:textId="075B587C" w:rsidR="00283E81" w:rsidRPr="00283E81" w:rsidRDefault="00283E81" w:rsidP="00283E81">
      <w:pPr>
        <w:spacing w:line="276" w:lineRule="auto"/>
        <w:jc w:val="both"/>
        <w:rPr>
          <w:rFonts w:ascii="Garamond" w:hAnsi="Garamond"/>
          <w:sz w:val="22"/>
          <w:szCs w:val="22"/>
          <w:lang w:val="es-MX"/>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38"/>
        <w:gridCol w:w="4156"/>
      </w:tblGrid>
      <w:tr w:rsidR="00283E81" w:rsidRPr="00283E81" w14:paraId="54808210" w14:textId="77777777" w:rsidTr="00283E81">
        <w:trPr>
          <w:trHeight w:val="288"/>
        </w:trPr>
        <w:tc>
          <w:tcPr>
            <w:tcW w:w="2788" w:type="pct"/>
            <w:shd w:val="clear" w:color="auto" w:fill="auto"/>
            <w:noWrap/>
            <w:vAlign w:val="bottom"/>
            <w:hideMark/>
          </w:tcPr>
          <w:p w14:paraId="5BE6FDE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FASES</w:t>
            </w:r>
          </w:p>
        </w:tc>
        <w:tc>
          <w:tcPr>
            <w:tcW w:w="2212" w:type="pct"/>
            <w:shd w:val="clear" w:color="auto" w:fill="auto"/>
            <w:noWrap/>
            <w:vAlign w:val="bottom"/>
            <w:hideMark/>
          </w:tcPr>
          <w:p w14:paraId="47A65E6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CONTENIDO</w:t>
            </w:r>
          </w:p>
        </w:tc>
      </w:tr>
      <w:tr w:rsidR="00283E81" w:rsidRPr="00283E81" w14:paraId="5AD39AC8" w14:textId="77777777" w:rsidTr="00283E81">
        <w:trPr>
          <w:trHeight w:val="288"/>
        </w:trPr>
        <w:tc>
          <w:tcPr>
            <w:tcW w:w="2788" w:type="pct"/>
            <w:vMerge w:val="restart"/>
            <w:shd w:val="clear" w:color="auto" w:fill="auto"/>
            <w:noWrap/>
            <w:vAlign w:val="center"/>
            <w:hideMark/>
          </w:tcPr>
          <w:p w14:paraId="610A8830"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MANUAL DE CALIDAD</w:t>
            </w:r>
          </w:p>
        </w:tc>
        <w:tc>
          <w:tcPr>
            <w:tcW w:w="2212" w:type="pct"/>
            <w:shd w:val="clear" w:color="auto" w:fill="auto"/>
            <w:noWrap/>
            <w:vAlign w:val="bottom"/>
            <w:hideMark/>
          </w:tcPr>
          <w:p w14:paraId="6C17744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1.1. Objetivo</w:t>
            </w:r>
          </w:p>
        </w:tc>
      </w:tr>
      <w:tr w:rsidR="00283E81" w:rsidRPr="00283E81" w14:paraId="47AC565A" w14:textId="77777777" w:rsidTr="00283E81">
        <w:trPr>
          <w:trHeight w:val="288"/>
        </w:trPr>
        <w:tc>
          <w:tcPr>
            <w:tcW w:w="2788" w:type="pct"/>
            <w:vMerge/>
            <w:shd w:val="clear" w:color="auto" w:fill="auto"/>
            <w:noWrap/>
            <w:vAlign w:val="bottom"/>
            <w:hideMark/>
          </w:tcPr>
          <w:p w14:paraId="02E5DB4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719E67E"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1.2. Descripción del sistema de calidad</w:t>
            </w:r>
          </w:p>
        </w:tc>
      </w:tr>
      <w:tr w:rsidR="00283E81" w:rsidRPr="00283E81" w14:paraId="4D929292" w14:textId="77777777" w:rsidTr="00283E81">
        <w:trPr>
          <w:trHeight w:val="288"/>
        </w:trPr>
        <w:tc>
          <w:tcPr>
            <w:tcW w:w="2788" w:type="pct"/>
            <w:vMerge/>
            <w:shd w:val="clear" w:color="auto" w:fill="auto"/>
            <w:noWrap/>
            <w:vAlign w:val="bottom"/>
            <w:hideMark/>
          </w:tcPr>
          <w:p w14:paraId="39799EB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09CB0B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1.3. Responsabilidad del manejo</w:t>
            </w:r>
          </w:p>
        </w:tc>
      </w:tr>
      <w:tr w:rsidR="00283E81" w:rsidRPr="00283E81" w14:paraId="10709F1E" w14:textId="77777777" w:rsidTr="00283E81">
        <w:trPr>
          <w:trHeight w:val="288"/>
        </w:trPr>
        <w:tc>
          <w:tcPr>
            <w:tcW w:w="2788" w:type="pct"/>
            <w:vMerge/>
            <w:shd w:val="clear" w:color="auto" w:fill="auto"/>
            <w:noWrap/>
            <w:vAlign w:val="bottom"/>
            <w:hideMark/>
          </w:tcPr>
          <w:p w14:paraId="0B0DC5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2A6C1BB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1.4. Calidad de la obra y como se implanta</w:t>
            </w:r>
          </w:p>
        </w:tc>
      </w:tr>
      <w:tr w:rsidR="00283E81" w:rsidRPr="00283E81" w14:paraId="54CFDB17" w14:textId="77777777" w:rsidTr="00283E81">
        <w:trPr>
          <w:trHeight w:val="288"/>
        </w:trPr>
        <w:tc>
          <w:tcPr>
            <w:tcW w:w="2788" w:type="pct"/>
            <w:vMerge w:val="restart"/>
            <w:shd w:val="clear" w:color="auto" w:fill="auto"/>
            <w:noWrap/>
            <w:vAlign w:val="center"/>
            <w:hideMark/>
          </w:tcPr>
          <w:p w14:paraId="4B94EEA1"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ESTABLECIMIENTO DE PROCEDIMIENTOS OPERATIVOS</w:t>
            </w:r>
          </w:p>
        </w:tc>
        <w:tc>
          <w:tcPr>
            <w:tcW w:w="2212" w:type="pct"/>
            <w:shd w:val="clear" w:color="auto" w:fill="auto"/>
            <w:noWrap/>
            <w:vAlign w:val="bottom"/>
            <w:hideMark/>
          </w:tcPr>
          <w:p w14:paraId="2B93813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2.1. Descripción de las actividades</w:t>
            </w:r>
          </w:p>
        </w:tc>
      </w:tr>
      <w:tr w:rsidR="00283E81" w:rsidRPr="00283E81" w14:paraId="6DC2194C" w14:textId="77777777" w:rsidTr="00283E81">
        <w:trPr>
          <w:trHeight w:val="288"/>
        </w:trPr>
        <w:tc>
          <w:tcPr>
            <w:tcW w:w="2788" w:type="pct"/>
            <w:vMerge/>
            <w:shd w:val="clear" w:color="auto" w:fill="auto"/>
            <w:noWrap/>
            <w:vAlign w:val="bottom"/>
            <w:hideMark/>
          </w:tcPr>
          <w:p w14:paraId="4514D43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B1E8ADD"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2.2. Control de productos no conforme</w:t>
            </w:r>
          </w:p>
        </w:tc>
      </w:tr>
      <w:tr w:rsidR="00283E81" w:rsidRPr="00283E81" w14:paraId="037C2BDF" w14:textId="77777777" w:rsidTr="00283E81">
        <w:trPr>
          <w:trHeight w:val="288"/>
        </w:trPr>
        <w:tc>
          <w:tcPr>
            <w:tcW w:w="2788" w:type="pct"/>
            <w:vMerge/>
            <w:shd w:val="clear" w:color="auto" w:fill="auto"/>
            <w:noWrap/>
            <w:vAlign w:val="bottom"/>
            <w:hideMark/>
          </w:tcPr>
          <w:p w14:paraId="4A5170B8"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315E234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2.3. Acciones correctivas y preventivas</w:t>
            </w:r>
          </w:p>
        </w:tc>
      </w:tr>
      <w:tr w:rsidR="00283E81" w:rsidRPr="00283E81" w14:paraId="685E2B0A" w14:textId="77777777" w:rsidTr="00283E81">
        <w:trPr>
          <w:trHeight w:val="288"/>
        </w:trPr>
        <w:tc>
          <w:tcPr>
            <w:tcW w:w="2788" w:type="pct"/>
            <w:vMerge/>
            <w:shd w:val="clear" w:color="auto" w:fill="auto"/>
            <w:noWrap/>
            <w:vAlign w:val="bottom"/>
            <w:hideMark/>
          </w:tcPr>
          <w:p w14:paraId="4DABABA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DE514DC"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2.4. Auditorias de calidad</w:t>
            </w:r>
          </w:p>
        </w:tc>
      </w:tr>
      <w:tr w:rsidR="00283E81" w:rsidRPr="00283E81" w14:paraId="1D65FA12" w14:textId="77777777" w:rsidTr="00283E81">
        <w:trPr>
          <w:trHeight w:val="288"/>
        </w:trPr>
        <w:tc>
          <w:tcPr>
            <w:tcW w:w="2788" w:type="pct"/>
            <w:vMerge w:val="restart"/>
            <w:shd w:val="clear" w:color="auto" w:fill="auto"/>
            <w:noWrap/>
            <w:vAlign w:val="center"/>
            <w:hideMark/>
          </w:tcPr>
          <w:p w14:paraId="7FA606C8"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DOCUMENTOS COMO SE APLICA EL SISTEMA DE CONTROL DE CALIDAD</w:t>
            </w:r>
          </w:p>
        </w:tc>
        <w:tc>
          <w:tcPr>
            <w:tcW w:w="2212" w:type="pct"/>
            <w:shd w:val="clear" w:color="auto" w:fill="auto"/>
            <w:noWrap/>
            <w:vAlign w:val="bottom"/>
            <w:hideMark/>
          </w:tcPr>
          <w:p w14:paraId="1F5F12EE"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3.1. Descripción de los recursos</w:t>
            </w:r>
          </w:p>
        </w:tc>
      </w:tr>
      <w:tr w:rsidR="00283E81" w:rsidRPr="00283E81" w14:paraId="0F52146F" w14:textId="77777777" w:rsidTr="00283E81">
        <w:trPr>
          <w:trHeight w:val="288"/>
        </w:trPr>
        <w:tc>
          <w:tcPr>
            <w:tcW w:w="2788" w:type="pct"/>
            <w:vMerge/>
            <w:shd w:val="clear" w:color="auto" w:fill="auto"/>
            <w:noWrap/>
            <w:vAlign w:val="bottom"/>
            <w:hideMark/>
          </w:tcPr>
          <w:p w14:paraId="6C37548F"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21B3F1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3.2. Descripción de las actividades</w:t>
            </w:r>
          </w:p>
        </w:tc>
      </w:tr>
      <w:tr w:rsidR="00283E81" w:rsidRPr="00283E81" w14:paraId="73D3A443" w14:textId="77777777" w:rsidTr="00283E81">
        <w:trPr>
          <w:trHeight w:val="288"/>
        </w:trPr>
        <w:tc>
          <w:tcPr>
            <w:tcW w:w="2788" w:type="pct"/>
            <w:vMerge/>
            <w:shd w:val="clear" w:color="auto" w:fill="auto"/>
            <w:noWrap/>
            <w:vAlign w:val="bottom"/>
            <w:hideMark/>
          </w:tcPr>
          <w:p w14:paraId="5AE6B0CD"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5F199771"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3.3. Descripción de procedimientos</w:t>
            </w:r>
          </w:p>
        </w:tc>
      </w:tr>
      <w:tr w:rsidR="00283E81" w:rsidRPr="00283E81" w14:paraId="46C5FFF0" w14:textId="77777777" w:rsidTr="00283E81">
        <w:trPr>
          <w:trHeight w:val="288"/>
        </w:trPr>
        <w:tc>
          <w:tcPr>
            <w:tcW w:w="2788" w:type="pct"/>
            <w:vMerge/>
            <w:shd w:val="clear" w:color="auto" w:fill="auto"/>
            <w:noWrap/>
            <w:vAlign w:val="bottom"/>
            <w:hideMark/>
          </w:tcPr>
          <w:p w14:paraId="195192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697BA06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4.1. Métodos constructivos</w:t>
            </w:r>
          </w:p>
        </w:tc>
      </w:tr>
      <w:tr w:rsidR="00283E81" w:rsidRPr="00283E81" w14:paraId="3423E1A7" w14:textId="77777777" w:rsidTr="00283E81">
        <w:trPr>
          <w:trHeight w:val="288"/>
        </w:trPr>
        <w:tc>
          <w:tcPr>
            <w:tcW w:w="2788" w:type="pct"/>
            <w:vMerge w:val="restart"/>
            <w:shd w:val="clear" w:color="auto" w:fill="auto"/>
            <w:noWrap/>
            <w:vAlign w:val="center"/>
            <w:hideMark/>
          </w:tcPr>
          <w:p w14:paraId="34F87693"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DOCUMENTOS QUE RELACIONA EN LAS ACTIVIDADES A REALIZAR</w:t>
            </w:r>
          </w:p>
        </w:tc>
        <w:tc>
          <w:tcPr>
            <w:tcW w:w="2212" w:type="pct"/>
            <w:shd w:val="clear" w:color="auto" w:fill="auto"/>
            <w:noWrap/>
            <w:vAlign w:val="bottom"/>
            <w:hideMark/>
          </w:tcPr>
          <w:p w14:paraId="3AE9BDD2"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4.2. Manual de mantenimiento</w:t>
            </w:r>
          </w:p>
        </w:tc>
      </w:tr>
      <w:tr w:rsidR="00283E81" w:rsidRPr="00283E81" w14:paraId="1DEB664E" w14:textId="77777777" w:rsidTr="00283E81">
        <w:trPr>
          <w:trHeight w:val="288"/>
        </w:trPr>
        <w:tc>
          <w:tcPr>
            <w:tcW w:w="2788" w:type="pct"/>
            <w:vMerge/>
            <w:shd w:val="clear" w:color="auto" w:fill="auto"/>
            <w:noWrap/>
            <w:vAlign w:val="bottom"/>
            <w:hideMark/>
          </w:tcPr>
          <w:p w14:paraId="5F949EA1"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639673F5"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4.3. Esquema de construcción o inclusión de manuales de verificación</w:t>
            </w:r>
          </w:p>
        </w:tc>
      </w:tr>
    </w:tbl>
    <w:p w14:paraId="565E3D26" w14:textId="77777777" w:rsidR="00283E81" w:rsidRPr="00283E81" w:rsidRDefault="00283E81" w:rsidP="00283E81">
      <w:pPr>
        <w:spacing w:line="276" w:lineRule="auto"/>
        <w:jc w:val="both"/>
        <w:rPr>
          <w:rFonts w:ascii="Garamond" w:hAnsi="Garamond"/>
          <w:sz w:val="22"/>
          <w:szCs w:val="22"/>
          <w:lang w:val="es-MX"/>
        </w:rPr>
      </w:pPr>
    </w:p>
    <w:bookmarkEnd w:id="55"/>
    <w:p w14:paraId="50D7BBFE" w14:textId="77777777" w:rsidR="00283E81" w:rsidRPr="00283E81" w:rsidRDefault="00283E81" w:rsidP="00283E81">
      <w:pPr>
        <w:spacing w:line="276" w:lineRule="auto"/>
        <w:jc w:val="both"/>
        <w:rPr>
          <w:rFonts w:ascii="Garamond" w:eastAsia="Arial" w:hAnsi="Garamond" w:cs="Arial"/>
          <w:sz w:val="22"/>
          <w:szCs w:val="22"/>
        </w:rPr>
      </w:pPr>
    </w:p>
    <w:p w14:paraId="70AC6B5A" w14:textId="77777777" w:rsidR="00DE1F93" w:rsidRPr="00283E81" w:rsidRDefault="00DE1F93" w:rsidP="003400E2">
      <w:pPr>
        <w:pStyle w:val="InviasNormal"/>
        <w:numPr>
          <w:ilvl w:val="2"/>
          <w:numId w:val="88"/>
        </w:numPr>
        <w:spacing w:line="276" w:lineRule="auto"/>
        <w:ind w:left="0" w:firstLine="0"/>
        <w:outlineLvl w:val="2"/>
        <w:rPr>
          <w:rFonts w:ascii="Garamond" w:hAnsi="Garamond" w:cs="Arial"/>
          <w:color w:val="auto"/>
          <w:sz w:val="22"/>
          <w:szCs w:val="22"/>
        </w:rPr>
      </w:pPr>
      <w:bookmarkStart w:id="56" w:name="_Toc206147401"/>
      <w:r w:rsidRPr="00283E81">
        <w:rPr>
          <w:rFonts w:ascii="Garamond" w:eastAsia="Arial" w:hAnsi="Garamond" w:cs="Arial"/>
          <w:b/>
          <w:bCs/>
          <w:color w:val="auto"/>
          <w:sz w:val="22"/>
          <w:szCs w:val="22"/>
          <w:lang w:val="es-MX"/>
        </w:rPr>
        <w:t>CRITERIOS AMBIENTALES Y SOCIALES</w:t>
      </w:r>
      <w:bookmarkEnd w:id="56"/>
      <w:r w:rsidRPr="00283E81">
        <w:rPr>
          <w:rFonts w:ascii="Garamond" w:eastAsia="Arial" w:hAnsi="Garamond" w:cs="Arial"/>
          <w:b/>
          <w:bCs/>
          <w:color w:val="000000" w:themeColor="text1"/>
          <w:sz w:val="22"/>
          <w:szCs w:val="22"/>
          <w:lang w:val="es-ES"/>
        </w:rPr>
        <w:t xml:space="preserve"> </w:t>
      </w:r>
    </w:p>
    <w:p w14:paraId="219F5621" w14:textId="1179E902" w:rsidR="00DE1F93" w:rsidRPr="00283E81" w:rsidRDefault="00DE1F93" w:rsidP="00DE1F93">
      <w:pPr>
        <w:jc w:val="both"/>
        <w:rPr>
          <w:rFonts w:ascii="Garamond" w:eastAsia="Arial" w:hAnsi="Garamond" w:cs="Arial"/>
          <w:sz w:val="22"/>
          <w:szCs w:val="22"/>
        </w:rPr>
      </w:pPr>
      <w:r w:rsidRPr="00283E81">
        <w:rPr>
          <w:rFonts w:ascii="Garamond" w:eastAsia="Arial" w:hAnsi="Garamond" w:cs="Arial"/>
          <w:sz w:val="22"/>
          <w:szCs w:val="22"/>
        </w:rPr>
        <w:t xml:space="preserve">La Entidad asignará un puntaje de </w:t>
      </w:r>
      <w:r w:rsidR="00283E81" w:rsidRPr="00283E81">
        <w:rPr>
          <w:rFonts w:ascii="Garamond" w:eastAsia="Arial" w:hAnsi="Garamond" w:cs="Arial"/>
          <w:sz w:val="22"/>
          <w:szCs w:val="22"/>
        </w:rPr>
        <w:t>cinco</w:t>
      </w:r>
      <w:r w:rsidRPr="00283E81">
        <w:rPr>
          <w:rFonts w:ascii="Garamond" w:eastAsia="Arial" w:hAnsi="Garamond" w:cs="Arial"/>
          <w:sz w:val="22"/>
          <w:szCs w:val="22"/>
        </w:rPr>
        <w:t xml:space="preserve"> (5) puntos al Proponente que se comprometa a ofrecer alguno de los elementos que conforman el criterio ambiental y cinco puntos (5) al Proponente que se comprometa a ofrecer alguno de los elementos que conforman el criterio social, para un total de veinte puntos por este concepto, como se desarrolla a continuación:  </w:t>
      </w:r>
    </w:p>
    <w:p w14:paraId="070BF32E" w14:textId="77777777" w:rsidR="00DE1F93" w:rsidRPr="00283E81" w:rsidRDefault="00DE1F93" w:rsidP="00DE1F93">
      <w:pPr>
        <w:jc w:val="both"/>
        <w:rPr>
          <w:rFonts w:ascii="Garamond" w:eastAsia="Arial" w:hAnsi="Garamond" w:cs="Arial"/>
          <w:sz w:val="22"/>
          <w:szCs w:val="22"/>
        </w:rPr>
      </w:pPr>
    </w:p>
    <w:p w14:paraId="78B80255" w14:textId="77777777" w:rsidR="00DE1F93" w:rsidRPr="00283E81" w:rsidRDefault="00DE1F93" w:rsidP="00DE1F93">
      <w:pPr>
        <w:rPr>
          <w:rFonts w:ascii="Garamond" w:eastAsia="Arial" w:hAnsi="Garamond" w:cs="Arial"/>
          <w:b/>
          <w:bCs/>
          <w:sz w:val="22"/>
          <w:szCs w:val="22"/>
        </w:rPr>
      </w:pPr>
      <w:r w:rsidRPr="00283E81">
        <w:rPr>
          <w:rFonts w:ascii="Garamond" w:eastAsia="Arial" w:hAnsi="Garamond" w:cs="Arial"/>
          <w:b/>
          <w:bCs/>
          <w:sz w:val="22"/>
          <w:szCs w:val="22"/>
        </w:rPr>
        <w:t xml:space="preserve">4.2.4.1.  CRITERIOS AMBIENTALES </w:t>
      </w:r>
    </w:p>
    <w:p w14:paraId="7BCD2086" w14:textId="77777777" w:rsidR="002077D8" w:rsidRPr="00283E81" w:rsidRDefault="002077D8" w:rsidP="00DE1F93">
      <w:pPr>
        <w:jc w:val="both"/>
        <w:rPr>
          <w:rFonts w:ascii="Garamond" w:eastAsia="Arial" w:hAnsi="Garamond" w:cs="Arial"/>
          <w:color w:val="000000" w:themeColor="text1"/>
          <w:sz w:val="22"/>
          <w:szCs w:val="22"/>
        </w:rPr>
      </w:pPr>
    </w:p>
    <w:p w14:paraId="463E689F" w14:textId="615B3E7E" w:rsidR="00DE1F93" w:rsidRPr="00283E81" w:rsidRDefault="00DE1F93" w:rsidP="00DE1F93">
      <w:pPr>
        <w:jc w:val="both"/>
        <w:rPr>
          <w:rFonts w:ascii="Garamond" w:eastAsia="Arial" w:hAnsi="Garamond" w:cs="Arial"/>
          <w:color w:val="000000" w:themeColor="text1"/>
          <w:sz w:val="22"/>
          <w:szCs w:val="22"/>
          <w:lang w:val="es-MX"/>
        </w:rPr>
      </w:pPr>
      <w:r w:rsidRPr="00283E81">
        <w:rPr>
          <w:rFonts w:ascii="Garamond" w:eastAsia="Arial" w:hAnsi="Garamond" w:cs="Arial"/>
          <w:color w:val="000000" w:themeColor="text1"/>
          <w:sz w:val="22"/>
          <w:szCs w:val="22"/>
        </w:rPr>
        <w:t xml:space="preserve">La Entidad asignará un puntaje de </w:t>
      </w:r>
      <w:r w:rsidR="00283E81" w:rsidRPr="00283E81">
        <w:rPr>
          <w:rFonts w:ascii="Garamond" w:eastAsia="Arial" w:hAnsi="Garamond" w:cs="Arial"/>
          <w:color w:val="000000" w:themeColor="text1"/>
          <w:sz w:val="22"/>
          <w:szCs w:val="22"/>
        </w:rPr>
        <w:t>cinco</w:t>
      </w:r>
      <w:r w:rsidRPr="00283E81">
        <w:rPr>
          <w:rFonts w:ascii="Garamond" w:eastAsia="Arial" w:hAnsi="Garamond" w:cs="Arial"/>
          <w:color w:val="000000" w:themeColor="text1"/>
          <w:sz w:val="22"/>
          <w:szCs w:val="22"/>
        </w:rPr>
        <w:t xml:space="preserve"> (5) puntos al Proponente que se comprometa a ofrecer alguno de los elementos que conforman el factor de sostenibilidad técnico ambiental agregado, mediante la suscripción del Formato 14 A - criterio Ambiental, en el cual bajo la gravedad de juramento conste el compromiso que asume y el ofrecimiento realizado. Los ofrecimientos efectuados serán opcionales para los Proponentes que producto del análisis hecho se encuentren en la capacidad de materializarlos y cumplirlos, por lo que los Proponentes que no presenten el Formato 14 A - Criterio ambiental no serán acreedores de puntaje por este factor. </w:t>
      </w:r>
    </w:p>
    <w:p w14:paraId="63406B69" w14:textId="77777777" w:rsidR="00DE1F93" w:rsidRPr="00283E81" w:rsidRDefault="00DE1F93" w:rsidP="00DE1F93">
      <w:pPr>
        <w:jc w:val="both"/>
        <w:rPr>
          <w:rFonts w:ascii="Garamond" w:eastAsia="Arial" w:hAnsi="Garamond" w:cs="Arial"/>
          <w:color w:val="000000" w:themeColor="text1"/>
          <w:sz w:val="22"/>
          <w:szCs w:val="22"/>
        </w:rPr>
      </w:pPr>
    </w:p>
    <w:p w14:paraId="39657835" w14:textId="34B97F92"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Las medidas implementadas en este factor son por cuenta y riesgo del Proponente y, una vez ofrecidos, tendrán el carácter de obligación contractual. Por lo tanto, será objeto de vigilancia por la interventoría en la ejecución del Contrato de obra. </w:t>
      </w:r>
    </w:p>
    <w:p w14:paraId="4B5FD197" w14:textId="77777777" w:rsidR="002077D8" w:rsidRPr="00283E81" w:rsidRDefault="002077D8" w:rsidP="00DE1F93">
      <w:pPr>
        <w:jc w:val="both"/>
        <w:rPr>
          <w:rFonts w:ascii="Garamond" w:eastAsia="Arial" w:hAnsi="Garamond" w:cs="Arial"/>
          <w:color w:val="000000" w:themeColor="text1"/>
          <w:sz w:val="22"/>
          <w:szCs w:val="22"/>
          <w:lang w:val="es-MX"/>
        </w:rPr>
      </w:pPr>
    </w:p>
    <w:p w14:paraId="04C153A9" w14:textId="77777777" w:rsidR="00DE1F93" w:rsidRPr="00283E81" w:rsidRDefault="00DE1F93" w:rsidP="00DE1F93">
      <w:pPr>
        <w:jc w:val="both"/>
        <w:rPr>
          <w:rFonts w:ascii="Garamond" w:eastAsia="Arial" w:hAnsi="Garamond" w:cs="Arial"/>
          <w:color w:val="000000" w:themeColor="text1"/>
          <w:sz w:val="22"/>
          <w:szCs w:val="22"/>
          <w:lang w:val="es-MX"/>
        </w:rPr>
      </w:pPr>
      <w:r w:rsidRPr="00283E81">
        <w:rPr>
          <w:rFonts w:ascii="Garamond" w:eastAsia="Arial" w:hAnsi="Garamond" w:cs="Arial"/>
          <w:color w:val="000000" w:themeColor="text1"/>
          <w:sz w:val="22"/>
          <w:szCs w:val="22"/>
        </w:rPr>
        <w:t xml:space="preserve">Para la obtención de puntaje por este factor, se tendrán en cuenta las siguientes consideraciones: </w:t>
      </w:r>
    </w:p>
    <w:p w14:paraId="07B33C09" w14:textId="77777777" w:rsidR="00DE1F93" w:rsidRPr="00283E81" w:rsidRDefault="00DE1F93" w:rsidP="003400E2">
      <w:pPr>
        <w:pStyle w:val="Prrafodelista"/>
        <w:numPr>
          <w:ilvl w:val="0"/>
          <w:numId w:val="104"/>
        </w:numPr>
        <w:ind w:left="709" w:hanging="283"/>
        <w:rPr>
          <w:rFonts w:ascii="Garamond" w:eastAsia="Arial" w:hAnsi="Garamond" w:cs="Arial"/>
          <w:color w:val="000000" w:themeColor="text1"/>
          <w:lang w:val="es-MX"/>
        </w:rPr>
      </w:pPr>
      <w:r w:rsidRPr="00283E81">
        <w:rPr>
          <w:rFonts w:ascii="Garamond" w:eastAsia="Arial" w:hAnsi="Garamond" w:cs="Arial"/>
          <w:color w:val="000000" w:themeColor="text1"/>
        </w:rPr>
        <w:t xml:space="preserve">Los costos asociados a la implementación de los elementos que componen este factor serán asumidos por el Contratista. </w:t>
      </w:r>
    </w:p>
    <w:p w14:paraId="0212DD3F" w14:textId="77777777" w:rsidR="00DE1F93" w:rsidRPr="00283E81" w:rsidRDefault="00DE1F93" w:rsidP="00DE1F93">
      <w:pPr>
        <w:pStyle w:val="Prrafodelista"/>
        <w:ind w:left="709" w:hanging="283"/>
        <w:rPr>
          <w:rFonts w:ascii="Garamond" w:eastAsia="Arial" w:hAnsi="Garamond" w:cs="Arial"/>
          <w:color w:val="000000" w:themeColor="text1"/>
        </w:rPr>
      </w:pPr>
    </w:p>
    <w:p w14:paraId="28BE614D" w14:textId="77777777" w:rsidR="00DE1F93" w:rsidRPr="00283E81" w:rsidRDefault="00DE1F93" w:rsidP="003400E2">
      <w:pPr>
        <w:pStyle w:val="Prrafodelista"/>
        <w:numPr>
          <w:ilvl w:val="0"/>
          <w:numId w:val="104"/>
        </w:numPr>
        <w:ind w:left="709" w:hanging="283"/>
        <w:rPr>
          <w:rFonts w:ascii="Garamond" w:eastAsia="Arial" w:hAnsi="Garamond" w:cs="Arial"/>
          <w:color w:val="000000" w:themeColor="text1"/>
        </w:rPr>
      </w:pPr>
      <w:r w:rsidRPr="00283E81">
        <w:rPr>
          <w:rFonts w:ascii="Garamond" w:eastAsia="Arial" w:hAnsi="Garamond" w:cs="Arial"/>
          <w:color w:val="000000" w:themeColor="text1"/>
        </w:rPr>
        <w:t xml:space="preserve">La verificación del ofrecimiento se hará por parte de la interventoría en la ejecución del Contrato. </w:t>
      </w:r>
    </w:p>
    <w:p w14:paraId="2AA78F48" w14:textId="77777777" w:rsidR="00DE1F93" w:rsidRPr="00283E81" w:rsidRDefault="00DE1F93" w:rsidP="00DE1F93">
      <w:pPr>
        <w:pStyle w:val="Prrafodelista"/>
        <w:ind w:left="709" w:hanging="283"/>
        <w:rPr>
          <w:rFonts w:ascii="Garamond" w:eastAsia="Arial" w:hAnsi="Garamond" w:cs="Arial"/>
          <w:color w:val="000000" w:themeColor="text1"/>
          <w:lang w:val="es-MX"/>
        </w:rPr>
      </w:pPr>
    </w:p>
    <w:p w14:paraId="7930927F" w14:textId="77777777" w:rsidR="00DE1F93" w:rsidRPr="00283E81" w:rsidRDefault="00DE1F93" w:rsidP="003400E2">
      <w:pPr>
        <w:pStyle w:val="Prrafodelista"/>
        <w:numPr>
          <w:ilvl w:val="0"/>
          <w:numId w:val="104"/>
        </w:numPr>
        <w:spacing w:line="276" w:lineRule="auto"/>
        <w:ind w:left="709" w:hanging="283"/>
        <w:rPr>
          <w:rFonts w:ascii="Garamond" w:eastAsia="Arial" w:hAnsi="Garamond" w:cs="Arial"/>
          <w:color w:val="000000" w:themeColor="text1"/>
        </w:rPr>
      </w:pPr>
      <w:r w:rsidRPr="00283E81">
        <w:rPr>
          <w:rFonts w:ascii="Garamond" w:eastAsia="Arial" w:hAnsi="Garamond" w:cs="Arial"/>
          <w:color w:val="000000" w:themeColor="text1"/>
        </w:rPr>
        <w:t>Si el Contratista durante la ejecución del Contrato no cumple con estos compromisos, que se convierten en obligaciones contractuales, la Entidad podrá acudir a las multas para conminar al Contratista a su cumplimiento, de acuerdo con lo pactado en el Contrato.</w:t>
      </w:r>
    </w:p>
    <w:p w14:paraId="57710E11" w14:textId="77777777" w:rsidR="00DE1F93" w:rsidRPr="00283E81" w:rsidRDefault="00DE1F93" w:rsidP="00DE1F93">
      <w:pPr>
        <w:pStyle w:val="Prrafodelista"/>
        <w:ind w:left="709" w:hanging="283"/>
        <w:rPr>
          <w:rFonts w:ascii="Garamond" w:eastAsia="Arial" w:hAnsi="Garamond" w:cs="Arial"/>
          <w:color w:val="000000" w:themeColor="text1"/>
        </w:rPr>
      </w:pPr>
    </w:p>
    <w:p w14:paraId="27358CCD" w14:textId="77777777" w:rsidR="00DE1F93" w:rsidRPr="00283E81" w:rsidRDefault="00DE1F93" w:rsidP="003400E2">
      <w:pPr>
        <w:pStyle w:val="Prrafodelista"/>
        <w:numPr>
          <w:ilvl w:val="0"/>
          <w:numId w:val="104"/>
        </w:numPr>
        <w:spacing w:after="120"/>
        <w:ind w:left="709" w:hanging="283"/>
        <w:rPr>
          <w:rFonts w:ascii="Garamond" w:eastAsia="Arial" w:hAnsi="Garamond" w:cs="Arial"/>
          <w:b/>
          <w:bCs/>
          <w:caps/>
          <w:color w:val="000000" w:themeColor="text1"/>
          <w:lang w:val="es-MX"/>
        </w:rPr>
      </w:pPr>
      <w:r w:rsidRPr="00283E81">
        <w:rPr>
          <w:rFonts w:ascii="Garamond" w:eastAsia="Arial" w:hAnsi="Garamond" w:cs="Arial"/>
          <w:color w:val="000000" w:themeColor="text1"/>
        </w:rPr>
        <w:t>Las actividades derivadas del ofrecimiento realizado son adicionales a aquellas propias de la ejecución del Contrato de obra y del cumplimiento de las obligaciones impuestas por las autorizaciones, permisos, licencias ambientales, licencias de construcción, planes de manejo ambiental, planes de ordenamiento territorial, requeridos para el desarrollo de la obra.</w:t>
      </w:r>
    </w:p>
    <w:p w14:paraId="4C675A28" w14:textId="77777777" w:rsidR="00DE1F93" w:rsidRPr="00283E81" w:rsidRDefault="00DE1F93" w:rsidP="00DE1F93">
      <w:pPr>
        <w:pStyle w:val="Prrafodelista"/>
        <w:spacing w:after="120"/>
        <w:rPr>
          <w:rFonts w:ascii="Garamond" w:eastAsia="Arial" w:hAnsi="Garamond" w:cs="Arial"/>
          <w:b/>
          <w:bCs/>
          <w:u w:val="single"/>
          <w:lang w:val="es-MX"/>
        </w:rPr>
      </w:pPr>
    </w:p>
    <w:p w14:paraId="33FA8786" w14:textId="77777777" w:rsidR="00DE1F93" w:rsidRPr="00283E81" w:rsidRDefault="00DE1F93" w:rsidP="00DE1F93">
      <w:pPr>
        <w:jc w:val="both"/>
        <w:rPr>
          <w:rFonts w:ascii="Garamond" w:hAnsi="Garamond"/>
          <w:sz w:val="22"/>
          <w:szCs w:val="22"/>
          <w:lang w:val="es-MX"/>
        </w:rPr>
      </w:pPr>
      <w:r w:rsidRPr="00283E81">
        <w:rPr>
          <w:rFonts w:ascii="Garamond" w:hAnsi="Garamond"/>
          <w:sz w:val="22"/>
          <w:szCs w:val="22"/>
          <w:lang w:val="es-MX"/>
        </w:rPr>
        <w:t>Para la acreditación del compromiso y asignación de puntaje el Proponente deberá presentar el Formato 14 A– Criterio Ambiental, debidamente suscrito y bajo la gravedad de juramento conste el compromiso que en este sentido asume, de realizar las siguientes actividades:</w:t>
      </w:r>
    </w:p>
    <w:p w14:paraId="2D2DF519" w14:textId="77777777" w:rsidR="00DE1F93" w:rsidRPr="00283E81" w:rsidRDefault="00DE1F93" w:rsidP="00DE1F93">
      <w:pPr>
        <w:jc w:val="both"/>
        <w:rPr>
          <w:rFonts w:ascii="Garamond" w:hAnsi="Garamond"/>
          <w:sz w:val="22"/>
          <w:szCs w:val="22"/>
          <w:lang w:val="es-MX"/>
        </w:rPr>
      </w:pPr>
    </w:p>
    <w:p w14:paraId="57209C9E" w14:textId="35F8679F" w:rsidR="00DE1F93" w:rsidRPr="00283E81" w:rsidRDefault="00DE1F93" w:rsidP="00DE1F93">
      <w:pPr>
        <w:jc w:val="both"/>
        <w:rPr>
          <w:rFonts w:ascii="Garamond" w:hAnsi="Garamond" w:cs="Arial"/>
          <w:sz w:val="22"/>
          <w:szCs w:val="22"/>
        </w:rPr>
      </w:pPr>
      <w:r w:rsidRPr="00283E81">
        <w:rPr>
          <w:rFonts w:ascii="Garamond" w:hAnsi="Garamond" w:cs="Arial"/>
          <w:b/>
          <w:sz w:val="22"/>
          <w:szCs w:val="22"/>
        </w:rPr>
        <w:t>i)</w:t>
      </w:r>
      <w:r w:rsidRPr="00283E81">
        <w:rPr>
          <w:rFonts w:ascii="Garamond" w:hAnsi="Garamond" w:cs="Arial"/>
          <w:sz w:val="22"/>
          <w:szCs w:val="22"/>
        </w:rPr>
        <w:t xml:space="preserve"> Establecer, medir y hacer seguimiento a un indicador de impacto ambiental adicional a los establecidos en el Plan de Manejo Ambiental - PMA y/o licencia ambiental y/o demás instrumentos definidos por la Normatividad y/o Autoridad Ambiental. </w:t>
      </w:r>
    </w:p>
    <w:p w14:paraId="15AC0978" w14:textId="77777777" w:rsidR="002077D8" w:rsidRPr="00283E81" w:rsidRDefault="002077D8" w:rsidP="00DE1F93">
      <w:pPr>
        <w:jc w:val="both"/>
        <w:rPr>
          <w:rFonts w:ascii="Garamond" w:hAnsi="Garamond" w:cs="Arial"/>
          <w:sz w:val="22"/>
          <w:szCs w:val="22"/>
        </w:rPr>
      </w:pPr>
    </w:p>
    <w:p w14:paraId="19253FC1" w14:textId="77777777" w:rsidR="00DE1F93" w:rsidRPr="00283E81" w:rsidRDefault="00DE1F93" w:rsidP="00DE1F93">
      <w:pPr>
        <w:ind w:right="49"/>
        <w:jc w:val="both"/>
        <w:rPr>
          <w:rFonts w:ascii="Garamond" w:hAnsi="Garamond" w:cs="Arial"/>
          <w:sz w:val="22"/>
          <w:szCs w:val="22"/>
        </w:rPr>
      </w:pPr>
      <w:r w:rsidRPr="00283E81">
        <w:rPr>
          <w:rFonts w:ascii="Garamond" w:hAnsi="Garamond" w:cs="Arial"/>
          <w:b/>
          <w:sz w:val="22"/>
          <w:szCs w:val="22"/>
        </w:rPr>
        <w:t>Nota 17</w:t>
      </w:r>
      <w:r w:rsidRPr="00283E81">
        <w:rPr>
          <w:rFonts w:ascii="Garamond" w:hAnsi="Garamond" w:cs="Arial"/>
          <w:sz w:val="22"/>
          <w:szCs w:val="22"/>
        </w:rPr>
        <w:t>: Es importante aclarar que esta opción es adicional a lo que pueda solicitarse en un permiso, plan de manejo o licencia ambiental. Es decir, es adicional al cumplimiento normativo y de obligaciones ambientales establecidos por la autoridad ambiental que corresponda.</w:t>
      </w:r>
    </w:p>
    <w:p w14:paraId="450B873C"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ii</w:t>
      </w:r>
      <w:proofErr w:type="spellEnd"/>
      <w:r w:rsidRPr="00283E81">
        <w:rPr>
          <w:rFonts w:ascii="Garamond" w:hAnsi="Garamond" w:cs="Arial"/>
          <w:b/>
          <w:sz w:val="22"/>
          <w:szCs w:val="22"/>
        </w:rPr>
        <w:t xml:space="preserve">) </w:t>
      </w:r>
      <w:r w:rsidRPr="00283E81">
        <w:rPr>
          <w:rFonts w:ascii="Garamond" w:hAnsi="Garamond" w:cs="Arial"/>
          <w:sz w:val="22"/>
          <w:szCs w:val="22"/>
        </w:rPr>
        <w:t xml:space="preserve"> Contar con un programa de transporte sostenible, donde se establezcan de manera evidenciable, a través de metas e indicadores, medidas que contengan entre otros, algunos aspectos relacionados con diversificación de modos de transporte como por ejemplo: combinación con el sistema público, vehículos compartidos, sistemas de movilidad activa puede ser uso de bicicletas, patinetas o incluso caminar, de ser posible uso de tecnologías </w:t>
      </w:r>
      <w:r w:rsidRPr="00283E81">
        <w:rPr>
          <w:rFonts w:ascii="Garamond" w:hAnsi="Garamond" w:cs="Arial"/>
          <w:sz w:val="22"/>
          <w:szCs w:val="22"/>
        </w:rPr>
        <w:lastRenderedPageBreak/>
        <w:t xml:space="preserve">limpias y vehículos de bajas emisiones o uso compartido de vehículos y promover opciones de transporte seguro y aspectos de conducción eficiente, entre otros. s para el uso de medios de transporte alternativos. </w:t>
      </w:r>
    </w:p>
    <w:p w14:paraId="664FE482"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iii</w:t>
      </w:r>
      <w:proofErr w:type="spellEnd"/>
      <w:r w:rsidRPr="00283E81">
        <w:rPr>
          <w:rFonts w:ascii="Garamond" w:hAnsi="Garamond" w:cs="Arial"/>
          <w:b/>
          <w:sz w:val="22"/>
          <w:szCs w:val="22"/>
        </w:rPr>
        <w:t>)</w:t>
      </w:r>
      <w:r w:rsidRPr="00283E81">
        <w:rPr>
          <w:rFonts w:ascii="Garamond" w:hAnsi="Garamond" w:cs="Arial"/>
          <w:sz w:val="22"/>
          <w:szCs w:val="22"/>
        </w:rPr>
        <w:t xml:space="preserve"> Contar con un programa de reciclaje y gestión integral de residuos (ordinarios, aprovechables, orgánicos, residuos de aparatos eléctricos y electrónicos-RAEES), donde se establezcan de manera evidenciable a través de metas e indicadores, las medidas implementadas de reciclaje y/o reutilización de residuos y su adecuada gestión. Durante la ejecución del proyecto tendrá que presentar el documento “Programa de reciclaje y gestión integral de residuos”, donde se evidencien las metas e indicadores, principalmente de reciclaje.</w:t>
      </w:r>
    </w:p>
    <w:p w14:paraId="21FE35A8"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iv</w:t>
      </w:r>
      <w:proofErr w:type="spellEnd"/>
      <w:r w:rsidRPr="00283E81">
        <w:rPr>
          <w:rFonts w:ascii="Garamond" w:hAnsi="Garamond" w:cs="Arial"/>
          <w:b/>
          <w:sz w:val="22"/>
          <w:szCs w:val="22"/>
        </w:rPr>
        <w:t>)</w:t>
      </w:r>
      <w:r w:rsidRPr="00283E81">
        <w:rPr>
          <w:rFonts w:ascii="Garamond" w:hAnsi="Garamond" w:cs="Arial"/>
          <w:sz w:val="22"/>
          <w:szCs w:val="22"/>
        </w:rPr>
        <w:t xml:space="preserve"> Asegurar la gestión adecuada de los residuos (ordinarios, aprovechables, residuos de aparatos eléctricos y electrónicos-RAEES) generados durante la prestación del servicio de obra en el marco de la normatividad vigente y aplicable, así como toda aquella que la modifique o la sustituya. Durante la ejecución del proyecto tendrá que entregar actas o documentos que evidencien la gestión de residuos efectuada durante la ejecución del Contrato.</w:t>
      </w:r>
    </w:p>
    <w:p w14:paraId="305D2D1F" w14:textId="77777777" w:rsidR="00DE1F93" w:rsidRPr="00283E81" w:rsidRDefault="00DE1F93" w:rsidP="00DE1F93">
      <w:pPr>
        <w:rPr>
          <w:rFonts w:ascii="Garamond" w:hAnsi="Garamond"/>
          <w:sz w:val="22"/>
          <w:szCs w:val="22"/>
          <w:lang w:val="es-MX"/>
        </w:rPr>
      </w:pPr>
    </w:p>
    <w:p w14:paraId="0198D5DB" w14:textId="77777777" w:rsidR="00DE1F93" w:rsidRPr="00283E81" w:rsidRDefault="00DE1F93" w:rsidP="00DE1F93">
      <w:pPr>
        <w:pStyle w:val="Ttulo3"/>
        <w:ind w:left="0" w:firstLine="0"/>
        <w:rPr>
          <w:rFonts w:eastAsia="Arial" w:cs="Arial"/>
          <w:b w:val="0"/>
          <w:bCs/>
          <w:sz w:val="22"/>
          <w:szCs w:val="22"/>
          <w:lang w:val="es-MX" w:eastAsia="es-ES"/>
        </w:rPr>
      </w:pPr>
      <w:bookmarkStart w:id="57" w:name="_Toc206147402"/>
      <w:r w:rsidRPr="00283E81">
        <w:rPr>
          <w:rFonts w:eastAsia="Arial" w:cs="Arial"/>
          <w:bCs/>
          <w:sz w:val="22"/>
          <w:szCs w:val="22"/>
          <w:lang w:val="es-MX" w:eastAsia="es-ES"/>
        </w:rPr>
        <w:t>4.2.5</w:t>
      </w:r>
      <w:r w:rsidRPr="00283E81">
        <w:rPr>
          <w:rFonts w:eastAsia="Arial" w:cs="Arial"/>
          <w:bCs/>
          <w:sz w:val="22"/>
          <w:szCs w:val="22"/>
          <w:lang w:val="es-MX" w:eastAsia="es-ES"/>
        </w:rPr>
        <w:tab/>
        <w:t>CRITERIO SOCIAL</w:t>
      </w:r>
      <w:bookmarkEnd w:id="57"/>
      <w:r w:rsidRPr="00283E81">
        <w:rPr>
          <w:rFonts w:eastAsia="Arial" w:cs="Arial"/>
          <w:bCs/>
          <w:sz w:val="22"/>
          <w:szCs w:val="22"/>
          <w:lang w:val="es-MX" w:eastAsia="es-ES"/>
        </w:rPr>
        <w:t xml:space="preserve"> </w:t>
      </w:r>
    </w:p>
    <w:p w14:paraId="5F50F2FF" w14:textId="77777777" w:rsidR="00DE1F93" w:rsidRPr="00283E81" w:rsidRDefault="00DE1F93" w:rsidP="00DE1F93">
      <w:pPr>
        <w:jc w:val="both"/>
        <w:rPr>
          <w:rFonts w:ascii="Garamond" w:eastAsia="Arial" w:hAnsi="Garamond" w:cs="Arial"/>
          <w:color w:val="000000" w:themeColor="text1"/>
          <w:sz w:val="22"/>
          <w:szCs w:val="22"/>
        </w:rPr>
      </w:pPr>
    </w:p>
    <w:p w14:paraId="3F870292" w14:textId="0E7FDB18"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La entidad asignará cinco (5) puntos al Proponente que se comprometa a vincular </w:t>
      </w:r>
      <w:r w:rsidRPr="00283E81">
        <w:rPr>
          <w:rFonts w:ascii="Garamond" w:hAnsi="Garamond"/>
          <w:sz w:val="22"/>
          <w:szCs w:val="22"/>
          <w:lang w:val="es-MX"/>
        </w:rPr>
        <w:t xml:space="preserve">durante toda la ejecución del Contrato al menos </w:t>
      </w:r>
      <w:r w:rsidRPr="00283E81">
        <w:rPr>
          <w:rFonts w:ascii="Garamond" w:hAnsi="Garamond" w:cs="Arial"/>
          <w:sz w:val="22"/>
          <w:szCs w:val="22"/>
        </w:rPr>
        <w:t>una</w:t>
      </w:r>
      <w:r w:rsidRPr="00283E81">
        <w:rPr>
          <w:rFonts w:ascii="Garamond" w:hAnsi="Garamond"/>
          <w:sz w:val="22"/>
          <w:szCs w:val="22"/>
          <w:lang w:val="es-MX"/>
        </w:rPr>
        <w:t xml:space="preserve"> persona de los tipos </w:t>
      </w:r>
      <w:r w:rsidRPr="00283E81">
        <w:rPr>
          <w:rFonts w:ascii="Garamond" w:eastAsia="Arial" w:hAnsi="Garamond" w:cs="Arial"/>
          <w:color w:val="000000" w:themeColor="text1"/>
          <w:sz w:val="22"/>
          <w:szCs w:val="22"/>
        </w:rPr>
        <w:t>poblacionales que se enlistan en este numeral, para ello el Proponente deberá presentar el Formato 14 B– Criterio social, en el cual bajo la gravedad de juramento conste el compromiso que en este sentido asume.</w:t>
      </w:r>
    </w:p>
    <w:p w14:paraId="5A04D340" w14:textId="77777777" w:rsidR="002077D8" w:rsidRPr="00283E81" w:rsidRDefault="002077D8" w:rsidP="00DE1F93">
      <w:pPr>
        <w:jc w:val="both"/>
        <w:rPr>
          <w:rFonts w:ascii="Garamond" w:eastAsia="Arial" w:hAnsi="Garamond" w:cs="Arial"/>
          <w:color w:val="000000" w:themeColor="text1"/>
          <w:sz w:val="22"/>
          <w:szCs w:val="22"/>
        </w:rPr>
      </w:pPr>
    </w:p>
    <w:p w14:paraId="397A697D" w14:textId="06292C8C"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El adjudicatario del proceso vinculará al menos una (1) persona, durante toda la ejecución del Contrato, que pertenezcan a uno o algunos de los siguientes tipos poblacionales:</w:t>
      </w:r>
    </w:p>
    <w:p w14:paraId="749EB8B8" w14:textId="77777777" w:rsidR="002077D8" w:rsidRPr="00283E81" w:rsidRDefault="002077D8" w:rsidP="00DE1F93">
      <w:pPr>
        <w:jc w:val="both"/>
        <w:rPr>
          <w:rFonts w:ascii="Garamond" w:eastAsia="Arial" w:hAnsi="Garamond" w:cs="Arial"/>
          <w:color w:val="000000" w:themeColor="text1"/>
          <w:sz w:val="22"/>
          <w:szCs w:val="22"/>
        </w:rPr>
      </w:pPr>
    </w:p>
    <w:p w14:paraId="282DC112"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Mujer Cabeza de Familia</w:t>
      </w:r>
    </w:p>
    <w:p w14:paraId="7E548F26"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Mujer Víctima de Violencia Intrafamiliar</w:t>
      </w:r>
    </w:p>
    <w:p w14:paraId="0D04AD2D"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Persona que no sean beneficiarios de la pensión de vejez, familiar o de sobrevivencia y que hayan cumplido el requisito de edad de pensión establecido en la ley</w:t>
      </w:r>
    </w:p>
    <w:p w14:paraId="0774614E"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Persona perteneciente a población indígena, negra, afrocolombiana, raizal, palanquera, </w:t>
      </w:r>
      <w:proofErr w:type="spellStart"/>
      <w:r w:rsidRPr="00283E81">
        <w:rPr>
          <w:rFonts w:ascii="Garamond" w:eastAsia="Arial" w:hAnsi="Garamond" w:cs="Arial"/>
          <w:color w:val="000000" w:themeColor="text1"/>
        </w:rPr>
        <w:t>Rrom</w:t>
      </w:r>
      <w:proofErr w:type="spellEnd"/>
      <w:r w:rsidRPr="00283E81">
        <w:rPr>
          <w:rFonts w:ascii="Garamond" w:eastAsia="Arial" w:hAnsi="Garamond" w:cs="Arial"/>
          <w:color w:val="000000" w:themeColor="text1"/>
        </w:rPr>
        <w:t xml:space="preserve"> o gitana.</w:t>
      </w:r>
    </w:p>
    <w:p w14:paraId="16C5AB87" w14:textId="77777777" w:rsidR="00DE1F93" w:rsidRPr="00283E81" w:rsidRDefault="00DE1F93" w:rsidP="003400E2">
      <w:pPr>
        <w:pStyle w:val="Prrafodelista"/>
        <w:numPr>
          <w:ilvl w:val="0"/>
          <w:numId w:val="103"/>
        </w:numPr>
        <w:spacing w:line="276" w:lineRule="auto"/>
        <w:rPr>
          <w:rFonts w:ascii="Garamond" w:eastAsia="Verdana" w:hAnsi="Garamond" w:cs="Verdana"/>
          <w:color w:val="4A442A" w:themeColor="background2" w:themeShade="40"/>
        </w:rPr>
      </w:pPr>
      <w:r w:rsidRPr="00283E81">
        <w:rPr>
          <w:rFonts w:ascii="Garamond" w:eastAsia="Arial" w:hAnsi="Garamond" w:cs="Arial"/>
          <w:color w:val="000000" w:themeColor="text1"/>
        </w:rPr>
        <w:t xml:space="preserve">Persona en proceso de reintegración o reincorporación </w:t>
      </w:r>
      <w:r w:rsidRPr="00283E81">
        <w:rPr>
          <w:rFonts w:ascii="Garamond" w:eastAsia="Verdana" w:hAnsi="Garamond" w:cs="Verdana"/>
          <w:color w:val="000000" w:themeColor="text1"/>
        </w:rPr>
        <w:t>y miembros o exmiembros de la fuerza pública comparecientes ante la Jurisdicción Especial para la Paz- JEP</w:t>
      </w:r>
    </w:p>
    <w:p w14:paraId="38522ABE"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Persona </w:t>
      </w:r>
      <w:proofErr w:type="spellStart"/>
      <w:r w:rsidRPr="00283E81">
        <w:rPr>
          <w:rFonts w:ascii="Garamond" w:eastAsia="Arial" w:hAnsi="Garamond" w:cs="Arial"/>
          <w:color w:val="000000" w:themeColor="text1"/>
        </w:rPr>
        <w:t>pospenada</w:t>
      </w:r>
      <w:proofErr w:type="spellEnd"/>
      <w:r w:rsidRPr="00283E81">
        <w:rPr>
          <w:rFonts w:ascii="Garamond" w:eastAsia="Arial" w:hAnsi="Garamond" w:cs="Arial"/>
          <w:color w:val="000000" w:themeColor="text1"/>
        </w:rPr>
        <w:t>, o aquellas personas que se encuentren cumpliendo pena con permiso de trabajo, libertad condicional o suspensión provisional de pena con autorización de trabajo</w:t>
      </w:r>
    </w:p>
    <w:p w14:paraId="433E868D"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Víctima de conflicto armado </w:t>
      </w:r>
    </w:p>
    <w:p w14:paraId="50BCACA8"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Sujetos de especial protección constitucional </w:t>
      </w:r>
    </w:p>
    <w:p w14:paraId="71389646"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En condición de pobreza extrema </w:t>
      </w:r>
    </w:p>
    <w:p w14:paraId="22E9F531"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Durante la totalidad de la ejecución del Contrato, el Proponente deberá acreditar al Interventor y/o supervisor, el cumplimiento de este compromiso aportando el Contrato laboral o documento que soporte la vinculación y planillas de aportes a seguridad social de la persona o personas vinculadas por este criterio.</w:t>
      </w:r>
    </w:p>
    <w:p w14:paraId="047012B9"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Adicional a lo anterior, para probar la condición de tipo poblacional, en lo que refiere a los listados en los numerales 1 al 9, se deberá aportar alguno de los documentos establecidos en el numeral 4.6 del presente </w:t>
      </w:r>
      <w:r w:rsidRPr="00283E81">
        <w:rPr>
          <w:rFonts w:ascii="Garamond" w:eastAsia="Arial" w:hAnsi="Garamond" w:cs="Arial"/>
          <w:color w:val="000000" w:themeColor="text1"/>
          <w:sz w:val="22"/>
          <w:szCs w:val="22"/>
        </w:rPr>
        <w:lastRenderedPageBreak/>
        <w:t xml:space="preserve">documento, para el caso de la persona o personas listadas en el numeral 6 deberá aportar certificación emitida por autoridad penitenciaria o judicial donde se acredite la calidad en la que se encuentra la persona. </w:t>
      </w:r>
    </w:p>
    <w:p w14:paraId="5A8B0657"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b/>
          <w:bCs/>
          <w:color w:val="000000" w:themeColor="text1"/>
          <w:sz w:val="22"/>
          <w:szCs w:val="22"/>
        </w:rPr>
        <w:t>Nota 18:</w:t>
      </w:r>
      <w:r w:rsidRPr="00283E81">
        <w:rPr>
          <w:rFonts w:ascii="Garamond" w:eastAsia="Arial" w:hAnsi="Garamond" w:cs="Arial"/>
          <w:color w:val="000000" w:themeColor="text1"/>
          <w:sz w:val="22"/>
          <w:szCs w:val="22"/>
        </w:rPr>
        <w:t xml:space="preserve"> Para el cumplimiento de este criterio durante la ejecución contractual, la Entidad deberá incluir una obligación adicional a la establecida en el numeral segundo de la cláusula novena del Anexo 4 – Minuta del Contrato. Por lo cual al ofrecer este ponderable, el Proponente se está comprometiendo con una obligación adicional y diferente a la contenida en el artículo 2.2.1.2.4.2.16 del Decreto 1082 de 2015.</w:t>
      </w:r>
    </w:p>
    <w:p w14:paraId="227F2E38"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b/>
          <w:bCs/>
          <w:color w:val="000000" w:themeColor="text1"/>
          <w:sz w:val="22"/>
          <w:szCs w:val="22"/>
        </w:rPr>
        <w:t>Nota 19</w:t>
      </w:r>
      <w:r w:rsidRPr="00283E81">
        <w:rPr>
          <w:rFonts w:ascii="Garamond" w:eastAsia="Arial" w:hAnsi="Garamond" w:cs="Arial"/>
          <w:color w:val="000000" w:themeColor="text1"/>
          <w:sz w:val="22"/>
          <w:szCs w:val="22"/>
        </w:rPr>
        <w:t>: Para los efectos previstos en el presente artículo, los sujetos de especial protección constitucional</w:t>
      </w:r>
      <w:r w:rsidRPr="00283E81">
        <w:rPr>
          <w:rFonts w:ascii="Garamond" w:eastAsia="Calibri" w:hAnsi="Garamond" w:cs="Arial"/>
          <w:color w:val="000000"/>
          <w:sz w:val="22"/>
          <w:szCs w:val="22"/>
          <w:lang w:val="es-MX"/>
        </w:rPr>
        <w:t xml:space="preserve"> son aquellas personas que debido a su particular condición física, psicológica o social merecen una acción positiva estatal para efectos de lograr una igualdad real y efectiva.  Serán sujetos de especial protección constitucional los identificados por la Ley o la jurisprudencia de esta manera.</w:t>
      </w:r>
    </w:p>
    <w:p w14:paraId="041CE26E" w14:textId="77777777" w:rsidR="00DE1F93" w:rsidRPr="00283E81" w:rsidRDefault="00DE1F93" w:rsidP="00DE1F93">
      <w:pPr>
        <w:jc w:val="both"/>
        <w:rPr>
          <w:rFonts w:ascii="Garamond" w:eastAsia="Calibri" w:hAnsi="Garamond" w:cs="Arial"/>
          <w:sz w:val="22"/>
          <w:szCs w:val="22"/>
          <w:lang w:val="es-ES"/>
        </w:rPr>
      </w:pPr>
      <w:r w:rsidRPr="00283E81">
        <w:rPr>
          <w:rFonts w:ascii="Garamond" w:eastAsia="Calibri" w:hAnsi="Garamond" w:cs="Arial"/>
          <w:b/>
          <w:bCs/>
          <w:color w:val="000000"/>
          <w:sz w:val="22"/>
          <w:szCs w:val="22"/>
          <w:lang w:val="es-MX"/>
        </w:rPr>
        <w:t>Nota 20:</w:t>
      </w:r>
      <w:r w:rsidRPr="00283E81">
        <w:rPr>
          <w:rFonts w:ascii="Garamond" w:eastAsia="Calibri" w:hAnsi="Garamond" w:cs="Arial"/>
          <w:color w:val="000000"/>
          <w:sz w:val="22"/>
          <w:szCs w:val="22"/>
          <w:lang w:val="es-MX"/>
        </w:rPr>
        <w:t xml:space="preserve"> </w:t>
      </w:r>
      <w:r w:rsidRPr="00283E81">
        <w:rPr>
          <w:rFonts w:ascii="Garamond" w:eastAsia="Calibri" w:hAnsi="Garamond" w:cs="Arial"/>
          <w:sz w:val="22"/>
          <w:szCs w:val="22"/>
          <w:lang w:val="es-ES"/>
        </w:rPr>
        <w:t>La condición de los sujetos de especial protección constitucional que no se encuentre definida en este documento tipo deberá ser acreditada de conformidad con lo determinado por la ley y la jurisprudencia en ausencia de norma aplicable.</w:t>
      </w:r>
    </w:p>
    <w:p w14:paraId="63273F65" w14:textId="04796475" w:rsidR="00DE1F93" w:rsidRPr="00283E81" w:rsidRDefault="00DE1F93" w:rsidP="00DE1F93">
      <w:pPr>
        <w:jc w:val="both"/>
        <w:rPr>
          <w:rFonts w:ascii="Garamond" w:eastAsia="Calibri" w:hAnsi="Garamond" w:cs="Arial"/>
          <w:sz w:val="22"/>
          <w:szCs w:val="22"/>
        </w:rPr>
      </w:pPr>
    </w:p>
    <w:p w14:paraId="73D8EFF9" w14:textId="07DD1D58" w:rsidR="00283E81" w:rsidRPr="00283E81" w:rsidRDefault="00283E81" w:rsidP="00283E81">
      <w:pPr>
        <w:pStyle w:val="Prrafodelista"/>
        <w:numPr>
          <w:ilvl w:val="1"/>
          <w:numId w:val="104"/>
        </w:numPr>
        <w:rPr>
          <w:rFonts w:ascii="Garamond" w:hAnsi="Garamond" w:cs="Arial"/>
        </w:rPr>
      </w:pPr>
      <w:bookmarkStart w:id="58" w:name="_Hlk216382569"/>
      <w:r w:rsidRPr="00283E81">
        <w:rPr>
          <w:rFonts w:ascii="Garamond" w:hAnsi="Garamond" w:cs="Arial"/>
        </w:rPr>
        <w:t>EXPERIENCIA ESPECIFICA ADICIONAL</w:t>
      </w:r>
    </w:p>
    <w:p w14:paraId="52100717" w14:textId="77777777" w:rsidR="00283E81" w:rsidRPr="00283E81" w:rsidRDefault="00283E81" w:rsidP="00283E81">
      <w:pPr>
        <w:pStyle w:val="NormalWeb"/>
        <w:rPr>
          <w:rFonts w:ascii="Garamond" w:eastAsia="Calibri" w:hAnsi="Garamond" w:cs="Arial"/>
          <w:sz w:val="22"/>
          <w:szCs w:val="22"/>
        </w:rPr>
      </w:pPr>
      <w:r w:rsidRPr="00283E81">
        <w:rPr>
          <w:rFonts w:ascii="Garamond" w:eastAsia="Calibri" w:hAnsi="Garamond" w:cs="Arial"/>
          <w:sz w:val="22"/>
          <w:szCs w:val="22"/>
        </w:rPr>
        <w:t>Se otorgará diez (10) puntos al proponente que dentro de su oferta incluya un (01) contrato adicional (distinto a la experiencia habilitante) celebrado con entidades públicas cuyo objeto contemple Mantenimiento y/o adecuación de infraestructura administrativa gubernamental de alcaldía y/o palacio municipal y/o edificio municipal, Este contrato deberá:</w:t>
      </w:r>
    </w:p>
    <w:p w14:paraId="4BECE654" w14:textId="77777777" w:rsidR="00283E81" w:rsidRPr="00283E81" w:rsidRDefault="00283E81" w:rsidP="00283E81">
      <w:pPr>
        <w:widowControl/>
        <w:numPr>
          <w:ilvl w:val="0"/>
          <w:numId w:val="107"/>
        </w:numPr>
        <w:suppressAutoHyphens w:val="0"/>
        <w:autoSpaceDN/>
        <w:spacing w:before="100" w:beforeAutospacing="1" w:after="100" w:afterAutospacing="1"/>
        <w:textAlignment w:val="auto"/>
        <w:rPr>
          <w:rFonts w:ascii="Garamond" w:eastAsia="Calibri" w:hAnsi="Garamond" w:cs="Arial"/>
          <w:sz w:val="22"/>
          <w:szCs w:val="22"/>
          <w:lang w:bidi="ar-SA"/>
        </w:rPr>
      </w:pPr>
      <w:r w:rsidRPr="00283E81">
        <w:rPr>
          <w:rFonts w:ascii="Garamond" w:eastAsia="Calibri" w:hAnsi="Garamond" w:cs="Arial"/>
          <w:sz w:val="22"/>
          <w:szCs w:val="22"/>
          <w:lang w:bidi="ar-SA"/>
        </w:rPr>
        <w:t xml:space="preserve">Estar registrado en el Registro Único de Proponentes – </w:t>
      </w:r>
      <w:proofErr w:type="spellStart"/>
      <w:r w:rsidRPr="00283E81">
        <w:rPr>
          <w:rFonts w:ascii="Garamond" w:eastAsia="Calibri" w:hAnsi="Garamond" w:cs="Arial"/>
          <w:sz w:val="22"/>
          <w:szCs w:val="22"/>
          <w:lang w:bidi="ar-SA"/>
        </w:rPr>
        <w:t>RUP</w:t>
      </w:r>
      <w:proofErr w:type="spellEnd"/>
      <w:r w:rsidRPr="00283E81">
        <w:rPr>
          <w:rFonts w:ascii="Garamond" w:eastAsia="Calibri" w:hAnsi="Garamond" w:cs="Arial"/>
          <w:sz w:val="22"/>
          <w:szCs w:val="22"/>
          <w:lang w:bidi="ar-SA"/>
        </w:rPr>
        <w:t>, en cumplimiento de los artículos 6 y 7 de la Ley 1150 de 2007 y el artículo 2.2.1.1.1.5.1 del Decreto 1082 de 2015.</w:t>
      </w:r>
    </w:p>
    <w:p w14:paraId="5A4D10B6" w14:textId="77777777" w:rsidR="00283E81" w:rsidRPr="00283E81" w:rsidRDefault="00283E81" w:rsidP="00283E81">
      <w:pPr>
        <w:widowControl/>
        <w:numPr>
          <w:ilvl w:val="0"/>
          <w:numId w:val="107"/>
        </w:numPr>
        <w:suppressAutoHyphens w:val="0"/>
        <w:autoSpaceDN/>
        <w:spacing w:before="100" w:beforeAutospacing="1" w:after="100" w:afterAutospacing="1"/>
        <w:textAlignment w:val="auto"/>
        <w:rPr>
          <w:rFonts w:ascii="Garamond" w:eastAsia="Calibri" w:hAnsi="Garamond" w:cs="Arial"/>
          <w:sz w:val="22"/>
          <w:szCs w:val="22"/>
          <w:lang w:bidi="ar-SA"/>
        </w:rPr>
      </w:pPr>
      <w:r w:rsidRPr="00283E81">
        <w:rPr>
          <w:rFonts w:ascii="Garamond" w:eastAsia="Calibri" w:hAnsi="Garamond" w:cs="Arial"/>
          <w:sz w:val="22"/>
          <w:szCs w:val="22"/>
          <w:lang w:bidi="ar-SA"/>
        </w:rPr>
        <w:t xml:space="preserve">Tener un valor histórico expresado en </w:t>
      </w:r>
      <w:proofErr w:type="spellStart"/>
      <w:r w:rsidRPr="00283E81">
        <w:rPr>
          <w:rFonts w:ascii="Garamond" w:eastAsia="Calibri" w:hAnsi="Garamond" w:cs="Arial"/>
          <w:sz w:val="22"/>
          <w:szCs w:val="22"/>
          <w:lang w:bidi="ar-SA"/>
        </w:rPr>
        <w:t>SMMLV</w:t>
      </w:r>
      <w:proofErr w:type="spellEnd"/>
      <w:r w:rsidRPr="00283E81">
        <w:rPr>
          <w:rFonts w:ascii="Garamond" w:eastAsia="Calibri" w:hAnsi="Garamond" w:cs="Arial"/>
          <w:sz w:val="22"/>
          <w:szCs w:val="22"/>
          <w:lang w:bidi="ar-SA"/>
        </w:rPr>
        <w:t xml:space="preserve"> igual o superior al noventa por ciento (90%) del Presupuesto Oficial asignado para el presente proceso, según las reglas de conversión y equivalencia previstas en los Documentos Tipo.</w:t>
      </w:r>
    </w:p>
    <w:p w14:paraId="2463FB14" w14:textId="54D606BF" w:rsidR="00385EE8" w:rsidRPr="00385EE8" w:rsidRDefault="00283E81" w:rsidP="00385EE8">
      <w:pPr>
        <w:pStyle w:val="NormalWeb"/>
        <w:jc w:val="both"/>
        <w:rPr>
          <w:rFonts w:ascii="Garamond" w:eastAsia="Calibri" w:hAnsi="Garamond" w:cs="Arial"/>
          <w:sz w:val="22"/>
          <w:szCs w:val="22"/>
        </w:rPr>
      </w:pPr>
      <w:r w:rsidRPr="00283E81">
        <w:rPr>
          <w:rFonts w:ascii="Garamond" w:eastAsia="Calibri" w:hAnsi="Garamond" w:cs="Arial"/>
          <w:sz w:val="22"/>
          <w:szCs w:val="22"/>
        </w:rPr>
        <w:t xml:space="preserve">NOTA: </w:t>
      </w:r>
      <w:bookmarkEnd w:id="54"/>
      <w:r w:rsidR="00385EE8">
        <w:rPr>
          <w:rFonts w:ascii="Garamond" w:eastAsia="Calibri" w:hAnsi="Garamond" w:cs="Arial"/>
          <w:sz w:val="22"/>
          <w:szCs w:val="22"/>
        </w:rPr>
        <w:t>E</w:t>
      </w:r>
      <w:r w:rsidR="00385EE8" w:rsidRPr="00385EE8">
        <w:rPr>
          <w:rFonts w:ascii="Garamond" w:eastAsia="Calibri" w:hAnsi="Garamond" w:cs="Arial"/>
          <w:sz w:val="22"/>
          <w:szCs w:val="22"/>
        </w:rPr>
        <w:t xml:space="preserve">ste criterio constituye un factor de calidad, </w:t>
      </w:r>
      <w:r w:rsidR="00385EE8">
        <w:rPr>
          <w:rFonts w:ascii="Garamond" w:eastAsia="Calibri" w:hAnsi="Garamond" w:cs="Arial"/>
          <w:sz w:val="22"/>
          <w:szCs w:val="22"/>
        </w:rPr>
        <w:t>sin</w:t>
      </w:r>
      <w:r w:rsidR="00385EE8" w:rsidRPr="00385EE8">
        <w:rPr>
          <w:rFonts w:ascii="Garamond" w:eastAsia="Calibri" w:hAnsi="Garamond" w:cs="Arial"/>
          <w:sz w:val="22"/>
          <w:szCs w:val="22"/>
        </w:rPr>
        <w:t xml:space="preserve"> altera</w:t>
      </w:r>
      <w:r w:rsidR="00385EE8">
        <w:rPr>
          <w:rFonts w:ascii="Garamond" w:eastAsia="Calibri" w:hAnsi="Garamond" w:cs="Arial"/>
          <w:sz w:val="22"/>
          <w:szCs w:val="22"/>
        </w:rPr>
        <w:t>r</w:t>
      </w:r>
      <w:r w:rsidR="00385EE8" w:rsidRPr="00385EE8">
        <w:rPr>
          <w:rFonts w:ascii="Garamond" w:eastAsia="Calibri" w:hAnsi="Garamond" w:cs="Arial"/>
          <w:sz w:val="22"/>
          <w:szCs w:val="22"/>
        </w:rPr>
        <w:t xml:space="preserve"> las condiciones habilitantes ni constituye barrera de acceso, sino un elemento de valoración orientado a identificar oferentes con experiencia específica comprobable en infraestructura institucional en funcionamiento, categoría que presenta mayores exigencias técnicas y operativas que las intervenciones en edificaciones convencionales.</w:t>
      </w:r>
    </w:p>
    <w:p w14:paraId="2AA3E9E9" w14:textId="77777777" w:rsidR="00385EE8" w:rsidRPr="00385EE8" w:rsidRDefault="00385EE8" w:rsidP="00385EE8">
      <w:pPr>
        <w:widowControl/>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Desde el punto de vista técnico, la intervención en sedes gubernamentales operativas implica:</w:t>
      </w:r>
    </w:p>
    <w:p w14:paraId="6D515999"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Planeación de actividades sin afectar la continuidad del servicio público.</w:t>
      </w:r>
    </w:p>
    <w:p w14:paraId="64E72722"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Manejo de restricciones de seguridad, circulación y ocupación permanente.</w:t>
      </w:r>
    </w:p>
    <w:p w14:paraId="12D53A91"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Coordinación con dependencias administrativas y control de interferencias.</w:t>
      </w:r>
    </w:p>
    <w:p w14:paraId="19347FC8"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Conocimiento de normas de seguridad, accesibilidad, redes internas y protocolos institucionales.</w:t>
      </w:r>
    </w:p>
    <w:p w14:paraId="0E16CA7D" w14:textId="77777777" w:rsidR="00385EE8" w:rsidRPr="00385EE8" w:rsidRDefault="00385EE8" w:rsidP="00385EE8">
      <w:pPr>
        <w:widowControl/>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Por ello, la experiencia adicional solicitada está directamente relacionada con la capacidad real del proponente para ejecutar obras de adecuación o mantenimiento sin alterar la función administrativa del inmueble, lo que constituye un criterio idóneo y proporcional conforme al principio de planeación (art. 26 de la Ley 80 de 1993).</w:t>
      </w:r>
    </w:p>
    <w:bookmarkEnd w:id="58"/>
    <w:p w14:paraId="349A61E1" w14:textId="0AEE7B5C" w:rsidR="00F768D0" w:rsidRPr="00283E81" w:rsidRDefault="7C9E4ED4" w:rsidP="00385EE8">
      <w:pPr>
        <w:jc w:val="both"/>
        <w:rPr>
          <w:rFonts w:ascii="Garamond" w:eastAsia="Garamond" w:hAnsi="Garamond" w:cs="Garamond"/>
          <w:color w:val="D13438"/>
          <w:sz w:val="22"/>
          <w:szCs w:val="22"/>
        </w:rPr>
      </w:pPr>
      <w:r w:rsidRPr="00283E81">
        <w:rPr>
          <w:rFonts w:ascii="Garamond" w:eastAsia="Garamond" w:hAnsi="Garamond" w:cs="Garamond"/>
          <w:b/>
          <w:bCs/>
          <w:color w:val="000000" w:themeColor="text1"/>
          <w:sz w:val="22"/>
          <w:szCs w:val="22"/>
        </w:rPr>
        <w:lastRenderedPageBreak/>
        <w:t>APOYO A LA INDUSTRIA NACIONAL (MAXIMO 20 PUNTOS)</w:t>
      </w:r>
    </w:p>
    <w:p w14:paraId="66BFF2B1" w14:textId="652A9A84" w:rsidR="002077D8" w:rsidRPr="00283E81" w:rsidRDefault="002077D8" w:rsidP="002077D8">
      <w:pPr>
        <w:jc w:val="both"/>
        <w:rPr>
          <w:rFonts w:ascii="Garamond" w:eastAsia="Garamond" w:hAnsi="Garamond" w:cs="Garamond"/>
          <w:color w:val="000000" w:themeColor="text1"/>
          <w:sz w:val="22"/>
          <w:szCs w:val="22"/>
        </w:rPr>
      </w:pPr>
      <w:bookmarkStart w:id="59" w:name="_Ref508650523"/>
      <w:bookmarkStart w:id="60" w:name="_Toc32147422"/>
      <w:bookmarkStart w:id="61" w:name="_Hlk8225455"/>
      <w:r w:rsidRPr="00283E81">
        <w:rPr>
          <w:rFonts w:ascii="Garamond" w:eastAsia="Garamond" w:hAnsi="Garamond" w:cs="Garamond"/>
          <w:color w:val="000000" w:themeColor="text1"/>
          <w:sz w:val="22"/>
          <w:szCs w:val="22"/>
        </w:rPr>
        <w:t xml:space="preserve">Los Proponentes pueden obtener puntaje de apoyo a la industria nacional por: i) Servicios Nacionales o con Trato Nacional o por </w:t>
      </w:r>
      <w:proofErr w:type="spellStart"/>
      <w:r w:rsidRPr="00283E81">
        <w:rPr>
          <w:rFonts w:ascii="Garamond" w:eastAsia="Garamond" w:hAnsi="Garamond" w:cs="Garamond"/>
          <w:color w:val="000000" w:themeColor="text1"/>
          <w:sz w:val="22"/>
          <w:szCs w:val="22"/>
        </w:rPr>
        <w:t>ii</w:t>
      </w:r>
      <w:proofErr w:type="spellEnd"/>
      <w:r w:rsidRPr="00283E81">
        <w:rPr>
          <w:rFonts w:ascii="Garamond" w:eastAsia="Garamond" w:hAnsi="Garamond" w:cs="Garamond"/>
          <w:color w:val="000000" w:themeColor="text1"/>
          <w:sz w:val="22"/>
          <w:szCs w:val="22"/>
        </w:rPr>
        <w:t>) la incorporación de componente nacional en servicios extranjeros. La Entidad en ningún caso otorgará simultáneamente el puntaje por ambos aspectos.</w:t>
      </w:r>
    </w:p>
    <w:p w14:paraId="2E76B3CA" w14:textId="77777777" w:rsidR="002077D8" w:rsidRPr="00283E81" w:rsidRDefault="002077D8" w:rsidP="002077D8">
      <w:pPr>
        <w:jc w:val="both"/>
        <w:rPr>
          <w:rFonts w:ascii="Garamond" w:eastAsia="Garamond" w:hAnsi="Garamond" w:cs="Garamond"/>
          <w:color w:val="000000" w:themeColor="text1"/>
          <w:sz w:val="22"/>
          <w:szCs w:val="22"/>
        </w:rPr>
      </w:pPr>
    </w:p>
    <w:p w14:paraId="6CCE59F2" w14:textId="653B3D51"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Los puntajes para estimular a la industria nacional se relacionan en la siguiente tabla:</w:t>
      </w:r>
    </w:p>
    <w:p w14:paraId="2CAC32EE" w14:textId="77777777" w:rsidR="002077D8" w:rsidRPr="00283E81" w:rsidRDefault="002077D8" w:rsidP="002077D8">
      <w:pPr>
        <w:jc w:val="both"/>
        <w:rPr>
          <w:rFonts w:ascii="Garamond" w:eastAsia="Garamond" w:hAnsi="Garamond" w:cs="Garamond"/>
          <w:color w:val="000000" w:themeColor="text1"/>
          <w:sz w:val="22"/>
          <w:szCs w:val="22"/>
        </w:rPr>
      </w:pPr>
    </w:p>
    <w:tbl>
      <w:tblPr>
        <w:tblW w:w="453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3140"/>
        <w:gridCol w:w="1398"/>
      </w:tblGrid>
      <w:tr w:rsidR="002077D8" w:rsidRPr="00283E81" w14:paraId="23B5C8F6" w14:textId="77777777" w:rsidTr="00973732">
        <w:trPr>
          <w:trHeight w:val="340"/>
          <w:tblHeader/>
          <w:jc w:val="center"/>
        </w:trPr>
        <w:tc>
          <w:tcPr>
            <w:tcW w:w="3140" w:type="dxa"/>
            <w:tcBorders>
              <w:top w:val="double" w:sz="4" w:space="0" w:color="auto"/>
              <w:left w:val="double" w:sz="4" w:space="0" w:color="auto"/>
              <w:bottom w:val="single" w:sz="6" w:space="0" w:color="auto"/>
              <w:right w:val="single" w:sz="6" w:space="0" w:color="auto"/>
            </w:tcBorders>
            <w:shd w:val="clear" w:color="auto" w:fill="4A442A" w:themeFill="background2" w:themeFillShade="40"/>
            <w:vAlign w:val="center"/>
            <w:hideMark/>
          </w:tcPr>
          <w:p w14:paraId="435D9D76"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Concepto</w:t>
            </w:r>
          </w:p>
        </w:tc>
        <w:tc>
          <w:tcPr>
            <w:tcW w:w="1398"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hideMark/>
          </w:tcPr>
          <w:p w14:paraId="796E9E24"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Puntaje</w:t>
            </w:r>
          </w:p>
        </w:tc>
      </w:tr>
      <w:tr w:rsidR="002077D8" w:rsidRPr="00283E81" w14:paraId="15A4BDB9" w14:textId="77777777" w:rsidTr="00973732">
        <w:trPr>
          <w:trHeight w:val="20"/>
          <w:jc w:val="center"/>
        </w:trPr>
        <w:tc>
          <w:tcPr>
            <w:tcW w:w="3140" w:type="dxa"/>
            <w:tcBorders>
              <w:top w:val="single" w:sz="6" w:space="0" w:color="auto"/>
              <w:left w:val="double" w:sz="4" w:space="0" w:color="auto"/>
              <w:bottom w:val="single" w:sz="6" w:space="0" w:color="auto"/>
              <w:right w:val="single" w:sz="6" w:space="0" w:color="auto"/>
            </w:tcBorders>
            <w:vAlign w:val="center"/>
            <w:hideMark/>
          </w:tcPr>
          <w:p w14:paraId="0FEB3ED7" w14:textId="77777777" w:rsidR="002077D8" w:rsidRPr="00283E81" w:rsidRDefault="002077D8" w:rsidP="00973732">
            <w:pPr>
              <w:spacing w:line="276" w:lineRule="auto"/>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w:t>
            </w:r>
          </w:p>
        </w:tc>
        <w:tc>
          <w:tcPr>
            <w:tcW w:w="1398" w:type="dxa"/>
            <w:tcBorders>
              <w:top w:val="single" w:sz="6" w:space="0" w:color="auto"/>
              <w:left w:val="single" w:sz="6" w:space="0" w:color="auto"/>
              <w:bottom w:val="single" w:sz="6" w:space="0" w:color="auto"/>
              <w:right w:val="double" w:sz="4" w:space="0" w:color="auto"/>
            </w:tcBorders>
            <w:vAlign w:val="center"/>
            <w:hideMark/>
          </w:tcPr>
          <w:p w14:paraId="4ED67DCB"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20</w:t>
            </w:r>
          </w:p>
        </w:tc>
      </w:tr>
      <w:tr w:rsidR="002077D8" w:rsidRPr="00283E81" w14:paraId="72A31D90" w14:textId="77777777" w:rsidTr="00973732">
        <w:trPr>
          <w:trHeight w:val="20"/>
          <w:jc w:val="center"/>
        </w:trPr>
        <w:tc>
          <w:tcPr>
            <w:tcW w:w="3140" w:type="dxa"/>
            <w:tcBorders>
              <w:top w:val="single" w:sz="6" w:space="0" w:color="auto"/>
              <w:left w:val="double" w:sz="4" w:space="0" w:color="auto"/>
              <w:bottom w:val="double" w:sz="4" w:space="0" w:color="auto"/>
              <w:right w:val="single" w:sz="6" w:space="0" w:color="auto"/>
            </w:tcBorders>
            <w:vAlign w:val="center"/>
            <w:hideMark/>
          </w:tcPr>
          <w:p w14:paraId="6C0F280A" w14:textId="77777777" w:rsidR="002077D8" w:rsidRPr="00283E81" w:rsidRDefault="002077D8" w:rsidP="00973732">
            <w:pPr>
              <w:spacing w:line="276" w:lineRule="auto"/>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Incorporación de componente nacional en servicios extranjeros</w:t>
            </w:r>
          </w:p>
        </w:tc>
        <w:tc>
          <w:tcPr>
            <w:tcW w:w="1398" w:type="dxa"/>
            <w:tcBorders>
              <w:top w:val="single" w:sz="6" w:space="0" w:color="auto"/>
              <w:left w:val="single" w:sz="6" w:space="0" w:color="auto"/>
              <w:bottom w:val="double" w:sz="4" w:space="0" w:color="auto"/>
              <w:right w:val="double" w:sz="4" w:space="0" w:color="auto"/>
            </w:tcBorders>
            <w:vAlign w:val="center"/>
            <w:hideMark/>
          </w:tcPr>
          <w:p w14:paraId="1C7FEC90"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5</w:t>
            </w:r>
          </w:p>
        </w:tc>
      </w:tr>
    </w:tbl>
    <w:p w14:paraId="76B20190" w14:textId="77777777" w:rsidR="002077D8" w:rsidRPr="00283E81" w:rsidRDefault="002077D8" w:rsidP="002077D8">
      <w:pPr>
        <w:pStyle w:val="InviasNormal"/>
        <w:spacing w:before="240" w:line="276" w:lineRule="auto"/>
        <w:rPr>
          <w:rFonts w:ascii="Garamond" w:eastAsia="Garamond" w:hAnsi="Garamond" w:cs="Garamond"/>
          <w:color w:val="000000" w:themeColor="text1"/>
          <w:kern w:val="3"/>
          <w:sz w:val="22"/>
          <w:szCs w:val="22"/>
          <w:lang w:val="es-CO" w:eastAsia="zh-CN" w:bidi="hi-IN"/>
        </w:rPr>
      </w:pPr>
    </w:p>
    <w:p w14:paraId="25F2F304" w14:textId="77777777" w:rsidR="002077D8" w:rsidRPr="00283E81" w:rsidRDefault="002077D8" w:rsidP="002077D8">
      <w:pPr>
        <w:pStyle w:val="InviasNormal"/>
        <w:spacing w:before="240" w:line="276" w:lineRule="auto"/>
        <w:outlineLvl w:val="2"/>
        <w:rPr>
          <w:rFonts w:ascii="Garamond" w:eastAsia="Garamond" w:hAnsi="Garamond" w:cs="Garamond"/>
          <w:b/>
          <w:bCs/>
          <w:color w:val="000000" w:themeColor="text1"/>
          <w:kern w:val="3"/>
          <w:sz w:val="22"/>
          <w:szCs w:val="22"/>
          <w:lang w:val="es-CO" w:eastAsia="zh-CN" w:bidi="hi-IN"/>
        </w:rPr>
      </w:pPr>
      <w:bookmarkStart w:id="62" w:name="_Toc206147404"/>
      <w:r w:rsidRPr="00283E81">
        <w:rPr>
          <w:rFonts w:ascii="Garamond" w:eastAsia="Garamond" w:hAnsi="Garamond" w:cs="Garamond"/>
          <w:b/>
          <w:bCs/>
          <w:color w:val="000000" w:themeColor="text1"/>
          <w:kern w:val="3"/>
          <w:sz w:val="22"/>
          <w:szCs w:val="22"/>
          <w:lang w:val="es-CO" w:eastAsia="zh-CN" w:bidi="hi-IN"/>
        </w:rPr>
        <w:t>PROMOCIÓN DE SERVICIOS NACIONALES O CON TRATO NACIONAL</w:t>
      </w:r>
      <w:bookmarkEnd w:id="59"/>
      <w:bookmarkEnd w:id="60"/>
      <w:bookmarkEnd w:id="62"/>
      <w:r w:rsidRPr="00283E81">
        <w:rPr>
          <w:rFonts w:ascii="Garamond" w:eastAsia="Garamond" w:hAnsi="Garamond" w:cs="Garamond"/>
          <w:b/>
          <w:bCs/>
          <w:color w:val="000000" w:themeColor="text1"/>
          <w:kern w:val="3"/>
          <w:sz w:val="22"/>
          <w:szCs w:val="22"/>
          <w:lang w:val="es-CO" w:eastAsia="zh-CN" w:bidi="hi-IN"/>
        </w:rPr>
        <w:t xml:space="preserve"> </w:t>
      </w:r>
    </w:p>
    <w:bookmarkEnd w:id="61"/>
    <w:p w14:paraId="7461A41C" w14:textId="2D937CEB"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En los Contratos que deban cumplirse en Colombia, el servicio es nacional cuando además de ofertarse por una persona natural colombiana o por un residente en Colombia, por una persona jurídica constituida de conformidad con la legislación colombiana o por un Proponente Plural conformado por estos o por estos y un extranjero con Trato Nacional, (i) usa el o los bienes nacionales relevantes definidos por la Entidad para el desarrollo de la obra o (</w:t>
      </w:r>
      <w:proofErr w:type="spellStart"/>
      <w:r w:rsidRPr="00283E81">
        <w:rPr>
          <w:rFonts w:ascii="Garamond" w:eastAsia="Garamond" w:hAnsi="Garamond" w:cs="Garamond"/>
          <w:color w:val="000000" w:themeColor="text1"/>
          <w:sz w:val="22"/>
          <w:szCs w:val="22"/>
        </w:rPr>
        <w:t>ii</w:t>
      </w:r>
      <w:proofErr w:type="spellEnd"/>
      <w:r w:rsidRPr="00283E81">
        <w:rPr>
          <w:rFonts w:ascii="Garamond" w:eastAsia="Garamond" w:hAnsi="Garamond" w:cs="Garamond"/>
          <w:color w:val="000000" w:themeColor="text1"/>
          <w:sz w:val="22"/>
          <w:szCs w:val="22"/>
        </w:rPr>
        <w:t>) vincula el porcentaje mínimo de personal colombiano, según corresponda.</w:t>
      </w:r>
    </w:p>
    <w:p w14:paraId="0E2C20BC" w14:textId="77777777" w:rsidR="002077D8" w:rsidRPr="00283E81" w:rsidRDefault="002077D8" w:rsidP="002077D8">
      <w:pPr>
        <w:jc w:val="both"/>
        <w:rPr>
          <w:rFonts w:ascii="Garamond" w:eastAsia="Garamond" w:hAnsi="Garamond" w:cs="Garamond"/>
          <w:color w:val="000000" w:themeColor="text1"/>
          <w:sz w:val="22"/>
          <w:szCs w:val="22"/>
        </w:rPr>
      </w:pPr>
    </w:p>
    <w:p w14:paraId="60E1C732" w14:textId="4DF08C36"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En los Contratos que no deban cumplirse en Colombia, que sean prestados en el extranjero y estén sometidos a la legislación colombiana, un servicio es colombiano si es prestado por una persona natural colombiana o por un residente en Colombia, por una persona jurídica constituida de conformidad con la legislación colombiana o por un Proponente Plural conformado por estos, sin que sea necesario el uso de bienes colombianos o la vinculación de personal colombiano.</w:t>
      </w:r>
    </w:p>
    <w:p w14:paraId="203FCB23" w14:textId="77777777" w:rsidR="002077D8" w:rsidRPr="00283E81" w:rsidRDefault="002077D8" w:rsidP="002077D8">
      <w:pPr>
        <w:jc w:val="both"/>
        <w:rPr>
          <w:rFonts w:ascii="Garamond" w:eastAsia="Garamond" w:hAnsi="Garamond" w:cs="Garamond"/>
          <w:color w:val="000000" w:themeColor="text1"/>
          <w:sz w:val="22"/>
          <w:szCs w:val="22"/>
        </w:rPr>
      </w:pPr>
    </w:p>
    <w:p w14:paraId="50A3C146" w14:textId="77777777"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el caso de los Proponentes extranjeros con trato nacional que participen en el Proceso de Contratación de manera singular o mediante la conformación de un Proponente Plural podrán definir si aplican las reglas previstas en este numeral o, </w:t>
      </w:r>
      <w:proofErr w:type="gramStart"/>
      <w:r w:rsidRPr="00283E81">
        <w:rPr>
          <w:rFonts w:ascii="Garamond" w:eastAsia="Garamond" w:hAnsi="Garamond" w:cs="Garamond"/>
          <w:color w:val="000000" w:themeColor="text1"/>
          <w:sz w:val="22"/>
          <w:szCs w:val="22"/>
        </w:rPr>
        <w:t>si</w:t>
      </w:r>
      <w:proofErr w:type="gramEnd"/>
      <w:r w:rsidRPr="00283E81">
        <w:rPr>
          <w:rFonts w:ascii="Garamond" w:eastAsia="Garamond" w:hAnsi="Garamond" w:cs="Garamond"/>
          <w:color w:val="000000" w:themeColor="text1"/>
          <w:sz w:val="22"/>
          <w:szCs w:val="22"/>
        </w:rPr>
        <w:t xml:space="preserve"> por el contrario, deciden acogerse a la regla de origen de su país. Para definir la regla aplicable al proceso, el Proponente extranjero con trato nacional así lo manifestará con el diligenciamiento de la opción 3 del Formato 9A – Promoción de Servicios Nacionales o con Trato Nacional. En el caso que no se diligencie la opción 3 del Formato 9A – Promoción de Servicios Nacionales o con Trato Nacional, la Entidad deberá evaluar la oferta de acuerdo con las reglas previstas en este numeral. </w:t>
      </w:r>
    </w:p>
    <w:p w14:paraId="4A4E78C7" w14:textId="7F980C9D" w:rsidR="00F768D0" w:rsidRPr="00283E81" w:rsidRDefault="00F768D0" w:rsidP="0CC143A9">
      <w:pPr>
        <w:tabs>
          <w:tab w:val="left" w:pos="876"/>
        </w:tabs>
        <w:spacing w:before="1"/>
        <w:ind w:left="284" w:right="116"/>
        <w:jc w:val="both"/>
        <w:rPr>
          <w:rFonts w:ascii="Garamond" w:eastAsia="Garamond" w:hAnsi="Garamond" w:cs="Garamond"/>
          <w:color w:val="D13438"/>
          <w:sz w:val="22"/>
          <w:szCs w:val="22"/>
        </w:rPr>
      </w:pPr>
    </w:p>
    <w:p w14:paraId="437AB153" w14:textId="63DFC50D"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De conformidad con la consulta del Registro de Productores de Bienes Nacionales, realizada en fecha 27/11/2025 se determinó que los bienes relevantes para el desarrollo de la obra no se encuentran incluidos en dicho registro de conformidad con el numeral 3 del artículo 2.2.1.2.4.2.9. del Decreto 1082 de 2015. Por tal motivo, se otorgará el puntaje de apoyo a la industria nacional a los Proponentes que se comprometan a vincular </w:t>
      </w:r>
      <w:r w:rsidRPr="00283E81">
        <w:rPr>
          <w:rFonts w:ascii="Garamond" w:eastAsia="Garamond" w:hAnsi="Garamond" w:cs="Garamond"/>
          <w:color w:val="000000" w:themeColor="text1"/>
          <w:sz w:val="22"/>
          <w:szCs w:val="22"/>
        </w:rPr>
        <w:lastRenderedPageBreak/>
        <w:t xml:space="preserve">al desarrollo del objeto contractual un porcentaje de empleados o contratistas por prestación de servicios colombianos, de al menos el 80% del personal requerido para el cumplimiento del Contrato. </w:t>
      </w:r>
    </w:p>
    <w:p w14:paraId="48E8CF56" w14:textId="77777777" w:rsidR="00FC0815" w:rsidRPr="00283E81" w:rsidRDefault="00FC0815" w:rsidP="00FC0815">
      <w:pPr>
        <w:jc w:val="both"/>
        <w:rPr>
          <w:rFonts w:ascii="Garamond" w:eastAsia="Garamond" w:hAnsi="Garamond" w:cs="Garamond"/>
          <w:color w:val="000000" w:themeColor="text1"/>
          <w:sz w:val="22"/>
          <w:szCs w:val="22"/>
        </w:rPr>
      </w:pPr>
    </w:p>
    <w:p w14:paraId="54F1853B" w14:textId="369626F3"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el caso de Proponentes Plurales, todos, varios o cualquiera de sus integrantes podrá vincular un porcentaje de empleados o contratistas por prestación de servicios colombianos, de al menos el 80% del personal requerido para el cumplimiento del Contrato. </w:t>
      </w:r>
    </w:p>
    <w:p w14:paraId="6FDB4BB3" w14:textId="77777777" w:rsidR="00FC0815" w:rsidRPr="00283E81" w:rsidRDefault="00FC0815" w:rsidP="00FC0815">
      <w:pPr>
        <w:jc w:val="both"/>
        <w:rPr>
          <w:rFonts w:ascii="Garamond" w:eastAsia="Garamond" w:hAnsi="Garamond" w:cs="Garamond"/>
          <w:color w:val="000000" w:themeColor="text1"/>
          <w:sz w:val="22"/>
          <w:szCs w:val="22"/>
        </w:rPr>
      </w:pPr>
    </w:p>
    <w:p w14:paraId="50911E98" w14:textId="54B43F97"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Además de la incorporación del bien nacional relevante o del porcentaje de personal colombiano requerido para la ejecución del Contrato, tratándose de Proponentes Plurales, su composición deberá estar acorde con lo exigido por la noción de Servicios Nacionales prevista en el artículo 2.2.1.1.1.3.1 del Decreto 1082 de 2015, de lo que dependerá la franja del puntaje aplicable en lo referente al apoyo de la industria nacional. </w:t>
      </w:r>
    </w:p>
    <w:p w14:paraId="21F85C6D" w14:textId="77777777" w:rsidR="00FC0815" w:rsidRPr="00283E81" w:rsidRDefault="00FC0815" w:rsidP="00FC0815">
      <w:pPr>
        <w:jc w:val="both"/>
        <w:rPr>
          <w:rFonts w:ascii="Garamond" w:eastAsia="Garamond" w:hAnsi="Garamond" w:cs="Garamond"/>
          <w:color w:val="000000" w:themeColor="text1"/>
          <w:sz w:val="22"/>
          <w:szCs w:val="22"/>
        </w:rPr>
      </w:pPr>
    </w:p>
    <w:p w14:paraId="6A4F9837" w14:textId="77777777"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A tales efectos en la siguiente tabla se indican las posibles composiciones de Proponentes Plurales, la regla de origen que les aplica en virtud de dicha conformación, así como la franja de puntaje correspondiente: </w:t>
      </w:r>
    </w:p>
    <w:tbl>
      <w:tblPr>
        <w:tblpPr w:leftFromText="141" w:rightFromText="141" w:vertAnchor="text" w:horzAnchor="margin" w:tblpXSpec="center" w:tblpY="127"/>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584"/>
        <w:gridCol w:w="2710"/>
        <w:gridCol w:w="2455"/>
        <w:gridCol w:w="2236"/>
      </w:tblGrid>
      <w:tr w:rsidR="00FC0815" w:rsidRPr="00283E81" w14:paraId="0ED6DB78" w14:textId="77777777" w:rsidTr="00973732">
        <w:trPr>
          <w:trHeight w:val="300"/>
          <w:tblHeader/>
          <w:jc w:val="center"/>
        </w:trPr>
        <w:tc>
          <w:tcPr>
            <w:tcW w:w="584" w:type="dxa"/>
            <w:tcBorders>
              <w:top w:val="double" w:sz="4" w:space="0" w:color="auto"/>
              <w:left w:val="double" w:sz="4" w:space="0" w:color="auto"/>
              <w:bottom w:val="single" w:sz="6" w:space="0" w:color="auto"/>
              <w:right w:val="single" w:sz="6" w:space="0" w:color="auto"/>
            </w:tcBorders>
            <w:shd w:val="clear" w:color="auto" w:fill="4A442A" w:themeFill="background2" w:themeFillShade="40"/>
            <w:vAlign w:val="center"/>
          </w:tcPr>
          <w:p w14:paraId="0A8F5E82" w14:textId="77777777" w:rsidR="00FC0815" w:rsidRPr="00283E81" w:rsidRDefault="00FC0815" w:rsidP="00973732">
            <w:pP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No.</w:t>
            </w:r>
          </w:p>
        </w:tc>
        <w:tc>
          <w:tcPr>
            <w:tcW w:w="2413"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3929639D"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Composición del Proponente Plural</w:t>
            </w:r>
          </w:p>
        </w:tc>
        <w:tc>
          <w:tcPr>
            <w:tcW w:w="2101"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03DF5555"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Regla de origen aplicable</w:t>
            </w:r>
          </w:p>
        </w:tc>
        <w:tc>
          <w:tcPr>
            <w:tcW w:w="2236"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29D94272"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Puntaje aplicable</w:t>
            </w:r>
          </w:p>
        </w:tc>
      </w:tr>
      <w:tr w:rsidR="00FC0815" w:rsidRPr="00283E81" w14:paraId="6F4B8B78"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63AE4C1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1.</w:t>
            </w:r>
          </w:p>
        </w:tc>
        <w:tc>
          <w:tcPr>
            <w:tcW w:w="2710" w:type="dxa"/>
            <w:tcBorders>
              <w:top w:val="single" w:sz="6" w:space="0" w:color="auto"/>
              <w:left w:val="single" w:sz="6" w:space="0" w:color="auto"/>
              <w:bottom w:val="single" w:sz="6" w:space="0" w:color="auto"/>
              <w:right w:val="double" w:sz="4" w:space="0" w:color="auto"/>
            </w:tcBorders>
            <w:vAlign w:val="center"/>
          </w:tcPr>
          <w:p w14:paraId="30A99207"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Únicamente integrantes colombianos</w:t>
            </w:r>
          </w:p>
        </w:tc>
        <w:tc>
          <w:tcPr>
            <w:tcW w:w="2101" w:type="dxa"/>
            <w:tcBorders>
              <w:top w:val="single" w:sz="6" w:space="0" w:color="auto"/>
              <w:left w:val="single" w:sz="6" w:space="0" w:color="auto"/>
              <w:bottom w:val="single" w:sz="6" w:space="0" w:color="auto"/>
              <w:right w:val="double" w:sz="4" w:space="0" w:color="auto"/>
            </w:tcBorders>
            <w:vAlign w:val="center"/>
          </w:tcPr>
          <w:p w14:paraId="7453EC8F"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Decreto 1082 de 2015</w:t>
            </w:r>
          </w:p>
        </w:tc>
        <w:tc>
          <w:tcPr>
            <w:tcW w:w="2236" w:type="dxa"/>
            <w:tcBorders>
              <w:top w:val="single" w:sz="6" w:space="0" w:color="auto"/>
              <w:left w:val="single" w:sz="6" w:space="0" w:color="auto"/>
              <w:bottom w:val="single" w:sz="6" w:space="0" w:color="auto"/>
              <w:right w:val="double" w:sz="4" w:space="0" w:color="auto"/>
            </w:tcBorders>
            <w:vAlign w:val="center"/>
          </w:tcPr>
          <w:p w14:paraId="52A717DE"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09E093AF"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4032630B"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2.</w:t>
            </w:r>
          </w:p>
        </w:tc>
        <w:tc>
          <w:tcPr>
            <w:tcW w:w="2710" w:type="dxa"/>
            <w:tcBorders>
              <w:top w:val="single" w:sz="6" w:space="0" w:color="auto"/>
              <w:left w:val="single" w:sz="6" w:space="0" w:color="auto"/>
              <w:bottom w:val="single" w:sz="6" w:space="0" w:color="auto"/>
              <w:right w:val="double" w:sz="4" w:space="0" w:color="auto"/>
            </w:tcBorders>
            <w:vAlign w:val="center"/>
          </w:tcPr>
          <w:p w14:paraId="680E7EED"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Colombianos en asocio con extranjeros con trato nacional</w:t>
            </w:r>
          </w:p>
        </w:tc>
        <w:tc>
          <w:tcPr>
            <w:tcW w:w="2455" w:type="dxa"/>
            <w:tcBorders>
              <w:top w:val="single" w:sz="6" w:space="0" w:color="auto"/>
              <w:left w:val="single" w:sz="6" w:space="0" w:color="auto"/>
              <w:bottom w:val="single" w:sz="6" w:space="0" w:color="auto"/>
              <w:right w:val="double" w:sz="4" w:space="0" w:color="auto"/>
            </w:tcBorders>
            <w:vAlign w:val="center"/>
          </w:tcPr>
          <w:p w14:paraId="0F283373"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Decreto 1082 de 2015</w:t>
            </w:r>
          </w:p>
        </w:tc>
        <w:tc>
          <w:tcPr>
            <w:tcW w:w="2236" w:type="dxa"/>
            <w:tcBorders>
              <w:top w:val="single" w:sz="6" w:space="0" w:color="auto"/>
              <w:left w:val="single" w:sz="6" w:space="0" w:color="auto"/>
              <w:bottom w:val="single" w:sz="6" w:space="0" w:color="auto"/>
              <w:right w:val="double" w:sz="4" w:space="0" w:color="auto"/>
            </w:tcBorders>
            <w:vAlign w:val="center"/>
          </w:tcPr>
          <w:p w14:paraId="144A8518"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1501E30D"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078E494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3.</w:t>
            </w:r>
          </w:p>
        </w:tc>
        <w:tc>
          <w:tcPr>
            <w:tcW w:w="2710" w:type="dxa"/>
            <w:tcBorders>
              <w:top w:val="single" w:sz="6" w:space="0" w:color="auto"/>
              <w:left w:val="single" w:sz="6" w:space="0" w:color="auto"/>
              <w:bottom w:val="single" w:sz="6" w:space="0" w:color="auto"/>
              <w:right w:val="double" w:sz="4" w:space="0" w:color="auto"/>
            </w:tcBorders>
            <w:vAlign w:val="center"/>
          </w:tcPr>
          <w:p w14:paraId="789D5B0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Únicamente integrado por extranjeros con trato nacional</w:t>
            </w:r>
          </w:p>
        </w:tc>
        <w:tc>
          <w:tcPr>
            <w:tcW w:w="2455" w:type="dxa"/>
            <w:tcBorders>
              <w:top w:val="single" w:sz="6" w:space="0" w:color="auto"/>
              <w:left w:val="single" w:sz="6" w:space="0" w:color="auto"/>
              <w:bottom w:val="single" w:sz="6" w:space="0" w:color="auto"/>
              <w:right w:val="double" w:sz="4" w:space="0" w:color="auto"/>
            </w:tcBorders>
          </w:tcPr>
          <w:p w14:paraId="47B993D3"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La regla de origen del país con el que se tenga acuerdo comercial o la del Decreto 1082 de 2015. Si el Proponente Plural no especifica a cuál regla se acoge, se aplicará la del Decreto 1082 de 2015.</w:t>
            </w:r>
          </w:p>
        </w:tc>
        <w:tc>
          <w:tcPr>
            <w:tcW w:w="2041" w:type="dxa"/>
            <w:tcBorders>
              <w:top w:val="single" w:sz="6" w:space="0" w:color="auto"/>
              <w:left w:val="single" w:sz="6" w:space="0" w:color="auto"/>
              <w:bottom w:val="single" w:sz="6" w:space="0" w:color="auto"/>
              <w:right w:val="double" w:sz="4" w:space="0" w:color="auto"/>
            </w:tcBorders>
            <w:vAlign w:val="center"/>
          </w:tcPr>
          <w:p w14:paraId="3568EABB"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3B45D2B8" w14:textId="77777777" w:rsidTr="00973732">
        <w:trPr>
          <w:trHeight w:val="300"/>
          <w:jc w:val="center"/>
        </w:trPr>
        <w:tc>
          <w:tcPr>
            <w:tcW w:w="584" w:type="dxa"/>
            <w:tcBorders>
              <w:top w:val="single" w:sz="6" w:space="0" w:color="auto"/>
              <w:left w:val="double" w:sz="4" w:space="0" w:color="auto"/>
              <w:bottom w:val="double" w:sz="4" w:space="0" w:color="auto"/>
              <w:right w:val="single" w:sz="6" w:space="0" w:color="auto"/>
            </w:tcBorders>
            <w:vAlign w:val="center"/>
          </w:tcPr>
          <w:p w14:paraId="04701868"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4.</w:t>
            </w:r>
          </w:p>
        </w:tc>
        <w:tc>
          <w:tcPr>
            <w:tcW w:w="2710" w:type="dxa"/>
            <w:tcBorders>
              <w:top w:val="single" w:sz="6" w:space="0" w:color="auto"/>
              <w:left w:val="single" w:sz="6" w:space="0" w:color="auto"/>
              <w:bottom w:val="double" w:sz="4" w:space="0" w:color="auto"/>
              <w:right w:val="double" w:sz="4" w:space="0" w:color="auto"/>
            </w:tcBorders>
            <w:vAlign w:val="center"/>
          </w:tcPr>
          <w:p w14:paraId="5B65077A"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Proponente plural en el que al menos uno de los integrantes es extranjero sin trato nacional.</w:t>
            </w:r>
          </w:p>
        </w:tc>
        <w:tc>
          <w:tcPr>
            <w:tcW w:w="2455" w:type="dxa"/>
            <w:tcBorders>
              <w:top w:val="single" w:sz="6" w:space="0" w:color="auto"/>
              <w:left w:val="single" w:sz="6" w:space="0" w:color="auto"/>
              <w:bottom w:val="double" w:sz="4" w:space="0" w:color="auto"/>
              <w:right w:val="double" w:sz="4" w:space="0" w:color="auto"/>
            </w:tcBorders>
            <w:vAlign w:val="center"/>
          </w:tcPr>
          <w:p w14:paraId="4DDCA7EA" w14:textId="77777777" w:rsidR="00FC0815" w:rsidRPr="00283E81" w:rsidRDefault="00FC0815" w:rsidP="00973732">
            <w:pP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No aplica la regla de origen del Decreto 1082 de 2015, ni la de los países de origen.</w:t>
            </w:r>
          </w:p>
        </w:tc>
        <w:tc>
          <w:tcPr>
            <w:tcW w:w="2041" w:type="dxa"/>
            <w:tcBorders>
              <w:top w:val="single" w:sz="6" w:space="0" w:color="auto"/>
              <w:left w:val="single" w:sz="6" w:space="0" w:color="auto"/>
              <w:bottom w:val="double" w:sz="4" w:space="0" w:color="auto"/>
              <w:right w:val="double" w:sz="4" w:space="0" w:color="auto"/>
            </w:tcBorders>
          </w:tcPr>
          <w:p w14:paraId="2522989F"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Incorporación de componente nacional en servicios extranjeros (4.3.2)</w:t>
            </w:r>
          </w:p>
        </w:tc>
      </w:tr>
    </w:tbl>
    <w:p w14:paraId="0728CE30" w14:textId="77777777" w:rsidR="00FC0815" w:rsidRPr="00283E81" w:rsidRDefault="00FC0815" w:rsidP="0CC143A9">
      <w:pPr>
        <w:tabs>
          <w:tab w:val="left" w:pos="876"/>
        </w:tabs>
        <w:spacing w:before="1"/>
        <w:ind w:left="284" w:right="116"/>
        <w:jc w:val="both"/>
        <w:rPr>
          <w:rFonts w:ascii="Garamond" w:eastAsia="Garamond" w:hAnsi="Garamond" w:cs="Garamond"/>
          <w:color w:val="D13438"/>
          <w:sz w:val="22"/>
          <w:szCs w:val="22"/>
        </w:rPr>
      </w:pPr>
    </w:p>
    <w:p w14:paraId="00DDB6A3" w14:textId="77777777" w:rsidR="00FC0815" w:rsidRPr="00283E81" w:rsidRDefault="00FC0815" w:rsidP="0CC143A9">
      <w:pPr>
        <w:pStyle w:val="Prrafodelista"/>
        <w:tabs>
          <w:tab w:val="left" w:pos="876"/>
        </w:tabs>
        <w:spacing w:before="1"/>
        <w:ind w:left="284" w:right="116"/>
        <w:rPr>
          <w:rFonts w:ascii="Garamond" w:eastAsia="Garamond" w:hAnsi="Garamond" w:cs="Garamond"/>
          <w:b/>
          <w:bCs/>
          <w:color w:val="000000" w:themeColor="text1"/>
        </w:rPr>
      </w:pPr>
    </w:p>
    <w:p w14:paraId="69FDC650" w14:textId="77777777" w:rsidR="00DD29CD" w:rsidRPr="00283E81" w:rsidRDefault="00DD29CD" w:rsidP="0CC143A9">
      <w:pPr>
        <w:pStyle w:val="Prrafodelista"/>
        <w:tabs>
          <w:tab w:val="left" w:pos="876"/>
        </w:tabs>
        <w:spacing w:before="1"/>
        <w:ind w:left="284" w:right="116"/>
        <w:rPr>
          <w:rFonts w:ascii="Garamond" w:eastAsia="Garamond" w:hAnsi="Garamond" w:cs="Garamond"/>
          <w:b/>
          <w:bCs/>
          <w:color w:val="000000" w:themeColor="text1"/>
        </w:rPr>
      </w:pPr>
    </w:p>
    <w:p w14:paraId="3DEA9DAE" w14:textId="77777777" w:rsidR="002077D8" w:rsidRPr="00283E81" w:rsidRDefault="002077D8" w:rsidP="003400E2">
      <w:pPr>
        <w:pStyle w:val="InviasNormal"/>
        <w:numPr>
          <w:ilvl w:val="3"/>
          <w:numId w:val="89"/>
        </w:numPr>
        <w:spacing w:line="276" w:lineRule="auto"/>
        <w:outlineLvl w:val="2"/>
        <w:rPr>
          <w:rFonts w:ascii="Garamond" w:eastAsia="Arial" w:hAnsi="Garamond" w:cs="Arial"/>
          <w:b/>
          <w:color w:val="000000" w:themeColor="text1"/>
          <w:sz w:val="22"/>
          <w:szCs w:val="22"/>
          <w:lang w:val="es-CO"/>
        </w:rPr>
      </w:pPr>
      <w:bookmarkStart w:id="63" w:name="_Toc206147405"/>
      <w:r w:rsidRPr="00283E81">
        <w:rPr>
          <w:rFonts w:ascii="Garamond" w:eastAsia="Arial" w:hAnsi="Garamond" w:cs="Arial"/>
          <w:b/>
          <w:color w:val="000000" w:themeColor="text1"/>
          <w:sz w:val="22"/>
          <w:szCs w:val="22"/>
        </w:rPr>
        <w:t>ACREDITACIÓN DEL PUNTAJE POR SERVICIOS NACIONALES O CON TRATO NACIONAL</w:t>
      </w:r>
      <w:bookmarkEnd w:id="63"/>
    </w:p>
    <w:p w14:paraId="6CAFE21E" w14:textId="77777777" w:rsidR="002077D8" w:rsidRPr="00283E81" w:rsidRDefault="002077D8" w:rsidP="002077D8">
      <w:pPr>
        <w:tabs>
          <w:tab w:val="left" w:pos="1276"/>
          <w:tab w:val="left" w:pos="1560"/>
          <w:tab w:val="left" w:pos="1701"/>
        </w:tabs>
        <w:jc w:val="both"/>
        <w:rPr>
          <w:rFonts w:ascii="Garamond" w:hAnsi="Garamond" w:cs="Arial"/>
          <w:sz w:val="22"/>
          <w:szCs w:val="22"/>
        </w:rPr>
      </w:pPr>
      <w:r w:rsidRPr="00283E81">
        <w:rPr>
          <w:rFonts w:ascii="Garamond" w:hAnsi="Garamond" w:cs="Arial"/>
          <w:sz w:val="22"/>
          <w:szCs w:val="22"/>
        </w:rPr>
        <w:t xml:space="preserve">La Entidad asignará hasta veinte (20) puntos a la oferta de: i) Servicios Nacionales o </w:t>
      </w:r>
      <w:proofErr w:type="spellStart"/>
      <w:r w:rsidRPr="00283E81">
        <w:rPr>
          <w:rFonts w:ascii="Garamond" w:hAnsi="Garamond" w:cs="Arial"/>
          <w:sz w:val="22"/>
          <w:szCs w:val="22"/>
        </w:rPr>
        <w:t>ii</w:t>
      </w:r>
      <w:proofErr w:type="spellEnd"/>
      <w:r w:rsidRPr="00283E81">
        <w:rPr>
          <w:rFonts w:ascii="Garamond" w:hAnsi="Garamond" w:cs="Arial"/>
          <w:sz w:val="22"/>
          <w:szCs w:val="22"/>
        </w:rPr>
        <w:t xml:space="preserve">) con Trato Nacional. </w:t>
      </w:r>
    </w:p>
    <w:p w14:paraId="328284CC" w14:textId="77777777" w:rsidR="002077D8" w:rsidRPr="00283E81" w:rsidRDefault="002077D8" w:rsidP="002077D8">
      <w:pPr>
        <w:jc w:val="both"/>
        <w:rPr>
          <w:rFonts w:ascii="Garamond" w:hAnsi="Garamond" w:cs="Arial"/>
          <w:iCs/>
          <w:sz w:val="22"/>
          <w:szCs w:val="22"/>
        </w:rPr>
      </w:pPr>
      <w:r w:rsidRPr="00283E81">
        <w:rPr>
          <w:rFonts w:ascii="Garamond" w:hAnsi="Garamond" w:cs="Arial"/>
          <w:iCs/>
          <w:sz w:val="22"/>
          <w:szCs w:val="22"/>
        </w:rPr>
        <w:t xml:space="preserve">Para que el Proponente nacional obtenga puntaje por Servicios Nacionales debe presentar, además del Formato 9 A – Promoción de Servicios Nacionales o con Trato Nacional, alguno de los siguientes documentos, según corresponda: </w:t>
      </w:r>
    </w:p>
    <w:p w14:paraId="542D4F2A"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r w:rsidRPr="00283E81">
        <w:rPr>
          <w:rFonts w:ascii="Garamond" w:hAnsi="Garamond" w:cs="Arial"/>
          <w:iCs/>
          <w:sz w:val="22"/>
          <w:szCs w:val="22"/>
        </w:rPr>
        <w:lastRenderedPageBreak/>
        <w:t>Persona natural colombiana: La cédula de ciudadanía del Proponente.</w:t>
      </w:r>
    </w:p>
    <w:p w14:paraId="6942DBEA" w14:textId="77777777" w:rsidR="002077D8" w:rsidRPr="00283E81" w:rsidRDefault="002077D8" w:rsidP="002077D8">
      <w:pPr>
        <w:contextualSpacing/>
        <w:jc w:val="both"/>
        <w:rPr>
          <w:rFonts w:ascii="Garamond" w:hAnsi="Garamond" w:cs="Arial"/>
          <w:iCs/>
          <w:sz w:val="22"/>
          <w:szCs w:val="22"/>
        </w:rPr>
      </w:pPr>
    </w:p>
    <w:p w14:paraId="44FBA229"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bookmarkStart w:id="64" w:name="_Hlk80648891"/>
      <w:r w:rsidRPr="00283E81">
        <w:rPr>
          <w:rFonts w:ascii="Garamond" w:hAnsi="Garamond" w:cs="Arial"/>
          <w:iCs/>
          <w:sz w:val="22"/>
          <w:szCs w:val="22"/>
        </w:rPr>
        <w:t xml:space="preserve">Persona natural extranjera residente en Colombia: La visa de residencia que le permita la ejecución del objeto contractual de conformidad con la ley. </w:t>
      </w:r>
    </w:p>
    <w:bookmarkEnd w:id="64"/>
    <w:p w14:paraId="0488C5EE" w14:textId="77777777" w:rsidR="002077D8" w:rsidRPr="00283E81" w:rsidRDefault="002077D8" w:rsidP="002077D8">
      <w:pPr>
        <w:contextualSpacing/>
        <w:jc w:val="both"/>
        <w:rPr>
          <w:rFonts w:ascii="Garamond" w:hAnsi="Garamond" w:cs="Arial"/>
          <w:iCs/>
          <w:sz w:val="22"/>
          <w:szCs w:val="22"/>
        </w:rPr>
      </w:pPr>
    </w:p>
    <w:p w14:paraId="0E1DF66F"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r w:rsidRPr="00283E81">
        <w:rPr>
          <w:rFonts w:ascii="Garamond" w:hAnsi="Garamond" w:cs="Arial"/>
          <w:iCs/>
          <w:sz w:val="22"/>
          <w:szCs w:val="22"/>
        </w:rPr>
        <w:t xml:space="preserve">Persona jurídica constituida en Colombia: El certificado de existencia y representación legal emitido por alguna de las cámaras de comercio del país. </w:t>
      </w:r>
    </w:p>
    <w:p w14:paraId="2E83B1EE" w14:textId="77777777" w:rsidR="002077D8" w:rsidRPr="00283E81" w:rsidRDefault="002077D8" w:rsidP="002077D8">
      <w:pPr>
        <w:contextualSpacing/>
        <w:jc w:val="both"/>
        <w:rPr>
          <w:rFonts w:ascii="Garamond" w:eastAsiaTheme="minorEastAsia" w:hAnsi="Garamond" w:cs="Arial"/>
          <w:iCs/>
          <w:sz w:val="22"/>
          <w:szCs w:val="22"/>
        </w:rPr>
      </w:pPr>
    </w:p>
    <w:p w14:paraId="0D4DB462" w14:textId="77777777" w:rsidR="002077D8" w:rsidRPr="00283E81" w:rsidRDefault="002077D8" w:rsidP="002077D8">
      <w:pPr>
        <w:contextualSpacing/>
        <w:jc w:val="both"/>
        <w:rPr>
          <w:rFonts w:ascii="Garamond" w:eastAsiaTheme="minorEastAsia" w:hAnsi="Garamond" w:cs="Arial"/>
          <w:iCs/>
          <w:sz w:val="22"/>
          <w:szCs w:val="22"/>
        </w:rPr>
      </w:pPr>
      <w:r w:rsidRPr="00283E81">
        <w:rPr>
          <w:rFonts w:ascii="Garamond" w:eastAsiaTheme="minorEastAsia" w:hAnsi="Garamond" w:cs="Arial"/>
          <w:iCs/>
          <w:sz w:val="22"/>
          <w:szCs w:val="22"/>
        </w:rPr>
        <w:t xml:space="preserve">Para </w:t>
      </w:r>
      <w:r w:rsidRPr="00283E81">
        <w:rPr>
          <w:rFonts w:ascii="Garamond" w:hAnsi="Garamond" w:cs="Arial"/>
          <w:iCs/>
          <w:sz w:val="22"/>
          <w:szCs w:val="22"/>
        </w:rPr>
        <w:t xml:space="preserve">que </w:t>
      </w:r>
      <w:r w:rsidRPr="00283E81">
        <w:rPr>
          <w:rFonts w:ascii="Garamond" w:eastAsiaTheme="minorEastAsia" w:hAnsi="Garamond" w:cs="Arial"/>
          <w:iCs/>
          <w:sz w:val="22"/>
          <w:szCs w:val="22"/>
        </w:rPr>
        <w:t xml:space="preserve">el </w:t>
      </w:r>
      <w:r w:rsidRPr="00283E81">
        <w:rPr>
          <w:rFonts w:ascii="Garamond" w:hAnsi="Garamond" w:cs="Arial"/>
          <w:iCs/>
          <w:sz w:val="22"/>
          <w:szCs w:val="22"/>
        </w:rPr>
        <w:t>Proponente</w:t>
      </w:r>
      <w:r w:rsidRPr="00283E81">
        <w:rPr>
          <w:rFonts w:ascii="Garamond" w:eastAsiaTheme="minorEastAsia" w:hAnsi="Garamond" w:cs="Arial"/>
          <w:iCs/>
          <w:sz w:val="22"/>
          <w:szCs w:val="22"/>
        </w:rPr>
        <w:t xml:space="preserve"> extranjero con trato nacional obtenga el puntaje por apoyo a la industria nacional por promoción de Servicios Nacionales o con Trato Nacional solo deberá presentar el Formato 9A – Promoción de Servicios Nacionales o con Trato Nacional. </w:t>
      </w:r>
    </w:p>
    <w:p w14:paraId="790DBA90" w14:textId="77777777" w:rsidR="002077D8" w:rsidRPr="00283E81" w:rsidRDefault="002077D8" w:rsidP="002077D8">
      <w:pPr>
        <w:contextualSpacing/>
        <w:jc w:val="both"/>
        <w:rPr>
          <w:rFonts w:ascii="Garamond" w:hAnsi="Garamond" w:cs="Arial"/>
          <w:iCs/>
          <w:sz w:val="22"/>
          <w:szCs w:val="22"/>
        </w:rPr>
      </w:pPr>
    </w:p>
    <w:p w14:paraId="1EBB118A" w14:textId="77777777" w:rsidR="002077D8" w:rsidRPr="00283E81" w:rsidRDefault="002077D8" w:rsidP="002077D8">
      <w:pPr>
        <w:jc w:val="both"/>
        <w:rPr>
          <w:rFonts w:ascii="Garamond" w:hAnsi="Garamond" w:cs="Arial"/>
          <w:iCs/>
          <w:sz w:val="22"/>
          <w:szCs w:val="22"/>
          <w:highlight w:val="yellow"/>
        </w:rPr>
      </w:pPr>
      <w:r w:rsidRPr="00283E81">
        <w:rPr>
          <w:rFonts w:ascii="Garamond" w:eastAsiaTheme="minorEastAsia" w:hAnsi="Garamond" w:cs="Arial"/>
          <w:iCs/>
          <w:sz w:val="22"/>
          <w:szCs w:val="22"/>
        </w:rPr>
        <w:t>Para el Proponente extranjero con trato nacional que diligencie la opción 3 del Formato 9A – Promoción de Servicios Nacionales o con Trato Nacional obtenga el puntaje por Trato Nacional, deberá acreditar que los servicios son originarios de: a) los Estados mencionados en la sección de acuerdos comerciales aplicables al presente Proceso de Contratación; b) los Estados en los cuales si bien no existe Acuerdo Comercial, el Gobierno Nacional ha certificado que los oferentes extranjeros gozan de Trato Nacional, en los términos del artículo 2.2.1.2.4.1.3. del Decreto 1082 de 2015; o c) los Estados miembros de la Comunidad Andina de Naciones.</w:t>
      </w:r>
      <w:r w:rsidRPr="00283E81">
        <w:rPr>
          <w:rFonts w:ascii="Garamond" w:hAnsi="Garamond" w:cs="Arial"/>
          <w:iCs/>
          <w:sz w:val="22"/>
          <w:szCs w:val="22"/>
        </w:rPr>
        <w:t xml:space="preserve"> Para esto, deberá demostrar que cumple con la regla de origen contemplada para los Servicios Nacionales del respectivo país, allegando la información y/o documentación que sea requerida. </w:t>
      </w:r>
    </w:p>
    <w:p w14:paraId="099C8BEA" w14:textId="77777777" w:rsidR="002077D8" w:rsidRPr="00283E81" w:rsidRDefault="002077D8" w:rsidP="002077D8">
      <w:pPr>
        <w:jc w:val="both"/>
        <w:rPr>
          <w:rFonts w:ascii="Garamond" w:hAnsi="Garamond" w:cs="Arial"/>
          <w:iCs/>
          <w:sz w:val="22"/>
          <w:szCs w:val="22"/>
        </w:rPr>
      </w:pPr>
      <w:r w:rsidRPr="00283E81">
        <w:rPr>
          <w:rFonts w:ascii="Garamond" w:hAnsi="Garamond" w:cs="Arial"/>
          <w:iCs/>
          <w:sz w:val="22"/>
          <w:szCs w:val="22"/>
        </w:rPr>
        <w:t xml:space="preserve">El Proponente nacional podrá subsanar la falta de presentación de la cédula de ciudadanía o del certificado de existencia y representación legal para acreditar el requisito habilitante de capacidad jurídica. No obstante, no podrá subsanar esta circunstancia para la asignación del puntaje por Promoción de Servicios Nacionales o con Trato Nacional. </w:t>
      </w:r>
    </w:p>
    <w:p w14:paraId="55B04D00" w14:textId="77777777" w:rsidR="002077D8" w:rsidRPr="00283E81" w:rsidRDefault="002077D8" w:rsidP="002077D8">
      <w:pPr>
        <w:jc w:val="both"/>
        <w:rPr>
          <w:rFonts w:ascii="Garamond" w:hAnsi="Garamond" w:cs="Arial"/>
          <w:sz w:val="22"/>
          <w:szCs w:val="22"/>
        </w:rPr>
      </w:pPr>
      <w:r w:rsidRPr="00283E81">
        <w:rPr>
          <w:rFonts w:ascii="Garamond" w:eastAsiaTheme="minorEastAsia" w:hAnsi="Garamond" w:cs="Arial"/>
          <w:sz w:val="22"/>
          <w:szCs w:val="22"/>
        </w:rPr>
        <w:t>La Entidad asignará el puntaje por apoyo a la industria nacional por promoción de Servicios Nacionales o con Trato Nacional al Proponente Plural conformado por nacionales cuando cada uno de sus integrantes presente alguno de los documentos indicados en este numeral, según corresponda. A su vez, el representante del Proponente Plural deberá diligenciar el Formato 9A – Promoción de Servicios Nacionales o con Trato Nacional. Cuando uno o varios de sus integrantes no cumplan con las condiciones descritas, el Proponente Plural no obtendrá puntaje por Promoción de Servicios Nacionales o Trato Nacional.</w:t>
      </w:r>
    </w:p>
    <w:p w14:paraId="6786CD4B" w14:textId="77777777" w:rsidR="002077D8" w:rsidRPr="00283E81" w:rsidRDefault="002077D8" w:rsidP="003400E2">
      <w:pPr>
        <w:pStyle w:val="InviasNormal"/>
        <w:numPr>
          <w:ilvl w:val="2"/>
          <w:numId w:val="89"/>
        </w:numPr>
        <w:spacing w:line="276" w:lineRule="auto"/>
        <w:outlineLvl w:val="2"/>
        <w:rPr>
          <w:rFonts w:ascii="Garamond" w:eastAsia="Arial" w:hAnsi="Garamond" w:cs="Arial"/>
          <w:b/>
          <w:color w:val="000000" w:themeColor="text1"/>
          <w:sz w:val="22"/>
          <w:szCs w:val="22"/>
          <w:lang w:val="es-CO"/>
        </w:rPr>
      </w:pPr>
      <w:bookmarkStart w:id="65" w:name="_Toc206147406"/>
      <w:r w:rsidRPr="00283E81">
        <w:rPr>
          <w:rFonts w:ascii="Garamond" w:eastAsia="Arial" w:hAnsi="Garamond" w:cs="Arial"/>
          <w:b/>
          <w:color w:val="000000" w:themeColor="text1"/>
          <w:sz w:val="22"/>
          <w:szCs w:val="22"/>
          <w:lang w:val="es-CO"/>
        </w:rPr>
        <w:t>INCORPORACIÓN DE COMPONENTE NACIONAL EN SERVICIOS EXTRANJEROS</w:t>
      </w:r>
      <w:bookmarkEnd w:id="65"/>
    </w:p>
    <w:p w14:paraId="397E9D59" w14:textId="77777777" w:rsidR="002077D8" w:rsidRPr="00283E81" w:rsidRDefault="002077D8" w:rsidP="002077D8">
      <w:pPr>
        <w:jc w:val="both"/>
        <w:rPr>
          <w:rFonts w:ascii="Garamond" w:hAnsi="Garamond" w:cs="Arial"/>
          <w:sz w:val="22"/>
          <w:szCs w:val="22"/>
          <w:lang w:val="es-MX"/>
        </w:rPr>
      </w:pPr>
      <w:bookmarkStart w:id="66" w:name="_Toc511375687"/>
      <w:bookmarkStart w:id="67" w:name="_Toc511375865"/>
      <w:bookmarkStart w:id="68" w:name="_Toc511029848"/>
      <w:bookmarkStart w:id="69" w:name="_Toc511375689"/>
      <w:bookmarkStart w:id="70" w:name="_Toc511375867"/>
      <w:bookmarkStart w:id="71" w:name="_Toc511380007"/>
      <w:bookmarkStart w:id="72" w:name="_Toc511383000"/>
      <w:bookmarkStart w:id="73" w:name="_Toc511400622"/>
      <w:bookmarkStart w:id="74" w:name="_Toc511401260"/>
      <w:bookmarkStart w:id="75" w:name="_Toc32147424"/>
      <w:bookmarkStart w:id="76" w:name="_Toc508648281"/>
      <w:bookmarkStart w:id="77" w:name="_Toc508984065"/>
      <w:bookmarkStart w:id="78" w:name="_Toc509843896"/>
      <w:bookmarkStart w:id="79" w:name="_Toc511924804"/>
      <w:bookmarkStart w:id="80" w:name="_Toc518641682"/>
      <w:bookmarkEnd w:id="66"/>
      <w:bookmarkEnd w:id="67"/>
      <w:bookmarkEnd w:id="68"/>
      <w:bookmarkEnd w:id="69"/>
      <w:bookmarkEnd w:id="70"/>
      <w:bookmarkEnd w:id="71"/>
      <w:bookmarkEnd w:id="72"/>
      <w:bookmarkEnd w:id="73"/>
      <w:bookmarkEnd w:id="74"/>
      <w:r w:rsidRPr="00283E81">
        <w:rPr>
          <w:rFonts w:ascii="Garamond" w:hAnsi="Garamond" w:cs="Arial"/>
          <w:sz w:val="22"/>
          <w:szCs w:val="22"/>
          <w:lang w:val="es-MX"/>
        </w:rPr>
        <w:t>La Entidad asignará cinco (5) puntos a los Proponentes extranjeros sin derecho a Trato Nacional o a Proponentes Plurales en los que al menos uno de sus integrantes sea un extranjero sin derecho a Trato Nacional, que incorporen a la ejecución del Contrato más del noventa por ciento (90 %) del personal técnico, operativo y profesional de origen colombiano.</w:t>
      </w:r>
    </w:p>
    <w:p w14:paraId="496736C6"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Por otro lado, el Proponente que ofrezca personal colombiano con títulos académicos otorgados en el exterior deberá acreditar la convalidación de estos títulos en Colombia ante el Ministerio de Educación Nacional. En este sentido, para acreditar los títulos académicos otorgados en el exterior se requiere presentar la Resolución expedida por el Ministerio de Educación Nacional que convalida el título obtenido en el exterior.</w:t>
      </w:r>
    </w:p>
    <w:p w14:paraId="17AD22CC"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 xml:space="preserve">Para recibir el puntaje por incorporación de componente colombiano, el representante legal o el apoderado del Proponente deberá diligenciar el Formato 9B – Incorporación de Componente Nacional en Servicios </w:t>
      </w:r>
      <w:r w:rsidRPr="00283E81">
        <w:rPr>
          <w:rFonts w:ascii="Garamond" w:hAnsi="Garamond" w:cs="Arial"/>
          <w:sz w:val="22"/>
          <w:szCs w:val="22"/>
          <w:lang w:val="es-MX"/>
        </w:rPr>
        <w:lastRenderedPageBreak/>
        <w:t>Extranjeros el cual manifieste bajo la gravedad de juramento que incorporará en la ejecución del Contrato más del noventa por ciento (90%) de personal técnico, operativo y profesional de origen colombiano, en caso de resultar adjudicatario del Proceso de Contratación.</w:t>
      </w:r>
    </w:p>
    <w:p w14:paraId="681CAFEB"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La Entidad únicamente otorgará el puntaje por promoción de la incorporación de componente nacional cuando el Proponente que presente el Formato 9B – Incorporación de Componente Nacional en Servicios Extranjeros no haya recibido puntaje alguno por promoción de Servicios Nacionales o con Trato Nacional.</w:t>
      </w:r>
    </w:p>
    <w:p w14:paraId="2F95B2F9"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 xml:space="preserve">El Formato 9B – Incorporación de Componente Nacional en Servicios Extranjeros solo debe ser aportado por los Proponentes extranjeros sin derecho a trato nacional que opten por incorporar personal colombiano. En el evento que un Proponente extranjero sin derecho a Trato a Nacional o un Proponente Plural en el que al menos uno de sus integrantes sea un extranjero sin Trato Nacional, en lugar del Formato 9B – Incorporación de Componente Nacional en Servicios Extranjeros, presente el Formato 9A – Promoción de Servicios Nacionales o con Trato Nacional, no habrá lugar a otorgar puntaje por el factor del numeral 4.3.1. del documento base ni por el regulado en este numeral. </w:t>
      </w:r>
    </w:p>
    <w:p w14:paraId="1CFFC3D0"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En caso de no efectuar ningún ofrecimiento, el puntaje por este factor será de cero (0).</w:t>
      </w:r>
    </w:p>
    <w:p w14:paraId="1B07D5BC" w14:textId="77777777" w:rsidR="002077D8" w:rsidRPr="00283E81" w:rsidRDefault="002077D8" w:rsidP="003400E2">
      <w:pPr>
        <w:pStyle w:val="Ttulo2"/>
        <w:numPr>
          <w:ilvl w:val="1"/>
          <w:numId w:val="89"/>
        </w:numPr>
        <w:spacing w:after="120"/>
        <w:ind w:left="1080" w:hanging="360"/>
        <w:rPr>
          <w:rFonts w:ascii="Garamond" w:hAnsi="Garamond" w:cs="Arial"/>
          <w:sz w:val="22"/>
          <w:szCs w:val="22"/>
          <w:lang w:val="es-MX"/>
        </w:rPr>
      </w:pPr>
      <w:bookmarkStart w:id="81" w:name="_Toc206147407"/>
      <w:r w:rsidRPr="00283E81">
        <w:rPr>
          <w:rFonts w:ascii="Garamond" w:hAnsi="Garamond" w:cs="Arial"/>
          <w:sz w:val="22"/>
          <w:szCs w:val="22"/>
          <w:lang w:val="es-MX"/>
        </w:rPr>
        <w:t>EMPRENDIMIENTOS Y EMPRESAS DE MUJERES</w:t>
      </w:r>
      <w:bookmarkEnd w:id="81"/>
    </w:p>
    <w:p w14:paraId="169F589A"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La Entidad asignará un puntaje de cero punto veinticinco (0.25) puntos al Proponente que acredite la calidad de emprendimientos y empresas de mujeres con domicilio en el territorio nacional de conformidad con la previsto en el artículo 2.2.1.2.4.2.14. del Decreto 1082 de 2015 o la norma que lo modifique, sustituya o complemente.</w:t>
      </w:r>
    </w:p>
    <w:p w14:paraId="7A16D479"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 xml:space="preserve">Para que el Proponente obtenga este puntaje debe diligenciar el Formato 12 – Acreditación de emprendimientos y empresas de mujeres y aportar la documentación requerida. Si el Proponente debió subsanar la entrega de dicho formato y/o los documentos exigidos para probar esta condición será válido para el criterio diferencial en cuanto al requisito habilitante relacionado con el número de Contratos aportados para demostrar la experiencia solicitada. Sin embargo, no se tendrán en cuenta para la asignación de puntaje, por lo que obtendrá cero (0) puntos por este criterio de evaluación. </w:t>
      </w:r>
    </w:p>
    <w:p w14:paraId="58E21F91"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Tratándose de Proponentes Plurales este puntaje se otorgará si por lo menos uno de los integrantes acredita la calidad de emprendimientos y empresas de mujeres y tiene una participación igual o superior al diez por ciento (10 %) en el Consorcio o en la Unión Temporal.</w:t>
      </w:r>
    </w:p>
    <w:p w14:paraId="75E1D005"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La asignación de este puntaje no excluye la aplicación del puntaje para Mipyme.</w:t>
      </w:r>
      <w:bookmarkEnd w:id="75"/>
      <w:bookmarkEnd w:id="76"/>
      <w:bookmarkEnd w:id="77"/>
      <w:bookmarkEnd w:id="78"/>
      <w:bookmarkEnd w:id="79"/>
      <w:bookmarkEnd w:id="80"/>
    </w:p>
    <w:p w14:paraId="48B5853E" w14:textId="77777777" w:rsidR="002077D8" w:rsidRPr="00283E81" w:rsidRDefault="002077D8" w:rsidP="003400E2">
      <w:pPr>
        <w:pStyle w:val="Ttulo2"/>
        <w:numPr>
          <w:ilvl w:val="1"/>
          <w:numId w:val="89"/>
        </w:numPr>
        <w:spacing w:after="120"/>
        <w:ind w:left="1080" w:hanging="360"/>
        <w:rPr>
          <w:rFonts w:ascii="Garamond" w:hAnsi="Garamond" w:cs="Arial"/>
          <w:sz w:val="22"/>
          <w:szCs w:val="22"/>
          <w:lang w:val="es-MX"/>
        </w:rPr>
      </w:pPr>
      <w:bookmarkStart w:id="82" w:name="_Toc206147409"/>
      <w:r w:rsidRPr="00283E81">
        <w:rPr>
          <w:rFonts w:ascii="Garamond" w:hAnsi="Garamond" w:cs="Arial"/>
          <w:sz w:val="22"/>
          <w:szCs w:val="22"/>
          <w:lang w:val="es-MX"/>
        </w:rPr>
        <w:t>CRITERIOS DE DESEMPATE</w:t>
      </w:r>
      <w:bookmarkEnd w:id="82"/>
    </w:p>
    <w:p w14:paraId="76C56D7E" w14:textId="77777777" w:rsidR="002077D8" w:rsidRPr="00283E81" w:rsidRDefault="002077D8" w:rsidP="002077D8">
      <w:pPr>
        <w:shd w:val="clear" w:color="auto" w:fill="FFFFFF" w:themeFill="background1"/>
        <w:tabs>
          <w:tab w:val="left" w:pos="851"/>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caso de empate en el puntaje total de dos o más ofertas deberán aplicarse las siguientes reglas de acuerdo con cada uno de los numerales, de forma sucesiva y excluyente, para seleccionar al Proponente favorecido, respetando en todo caso las obligaciones contenidas en los Acuerdos Comerciales vigentes, especialmente en materia de trato nacional:</w:t>
      </w:r>
    </w:p>
    <w:p w14:paraId="0F06700A" w14:textId="77777777" w:rsidR="002077D8" w:rsidRPr="00283E81" w:rsidRDefault="002077D8" w:rsidP="003400E2">
      <w:pPr>
        <w:pStyle w:val="Prrafodelista"/>
        <w:numPr>
          <w:ilvl w:val="0"/>
          <w:numId w:val="92"/>
        </w:numPr>
        <w:tabs>
          <w:tab w:val="left" w:pos="284"/>
          <w:tab w:val="left" w:pos="851"/>
        </w:tabs>
        <w:spacing w:after="240" w:line="276" w:lineRule="auto"/>
        <w:ind w:left="0" w:firstLine="0"/>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lastRenderedPageBreak/>
        <w:t xml:space="preserve">Preferir la oferta de bienes o servicios nacionales frente a la oferta de bienes o servicios extranjeros. El Proponente acreditará este factor de desempate de acuerdo con las reglas definidas en el numeral 4.3.1 y con los documentos señalados en la sección 4.3.1.1 del Pliego de Condiciones. Por tanto, este criterio de desempate se probará con los mismos documentos que se presentan para el puntaje de apoyo a la industria nacional. Para el caso de los Proponentes Plurales, todos los integrantes deberán demostrar el origen nacional de la oferta en las condiciones indicadas en los numerales anteriormente citados. </w:t>
      </w:r>
    </w:p>
    <w:p w14:paraId="0504ED74" w14:textId="77777777" w:rsidR="002077D8" w:rsidRPr="00283E81" w:rsidRDefault="002077D8" w:rsidP="003400E2">
      <w:pPr>
        <w:pStyle w:val="Prrafodelista"/>
        <w:numPr>
          <w:ilvl w:val="0"/>
          <w:numId w:val="92"/>
        </w:numPr>
        <w:tabs>
          <w:tab w:val="left" w:pos="284"/>
          <w:tab w:val="left" w:pos="709"/>
          <w:tab w:val="left" w:pos="851"/>
        </w:tabs>
        <w:spacing w:after="240" w:line="276" w:lineRule="auto"/>
        <w:ind w:left="0" w:firstLine="0"/>
        <w:contextualSpacing w:val="0"/>
        <w:rPr>
          <w:rFonts w:ascii="Garamond" w:hAnsi="Garamond" w:cs="Arial"/>
          <w:color w:val="000000" w:themeColor="text1"/>
        </w:rPr>
      </w:pPr>
      <w:r w:rsidRPr="00283E81">
        <w:rPr>
          <w:rFonts w:ascii="Garamond" w:eastAsiaTheme="minorHAnsi" w:hAnsi="Garamond" w:cs="Arial"/>
          <w:color w:val="000000" w:themeColor="text1"/>
          <w:lang w:val="es-MX"/>
        </w:rPr>
        <w:t>Preferir la propuesta de la mujer cabeza de familia. Su acreditación se realizará en los términos del parágrafo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Esta certificación debe tener una fecha de expedición no mayor a treinta (30) días calendario anteriores a la fecha del cierre del Proceso de Contratación y en esta deberá verificarse el cumplimiento de los requisitos indicados en el artículo 1 de la Ley 1232 de 2008.</w:t>
      </w:r>
      <w:r w:rsidRPr="00283E81">
        <w:rPr>
          <w:rFonts w:ascii="Garamond" w:hAnsi="Garamond" w:cs="Arial"/>
        </w:rPr>
        <w:t xml:space="preserve"> </w:t>
      </w:r>
      <w:r w:rsidRPr="00283E81">
        <w:rPr>
          <w:rFonts w:ascii="Garamond" w:hAnsi="Garamond" w:cs="Arial"/>
          <w:color w:val="000000" w:themeColor="text1"/>
        </w:rPr>
        <w:t>En caso de modificarse la fecha de cierre del proceso, se tendrá como referencia para establecer el plazo de vigencia del certificado la fecha originalmente contemplada en el Pliego de Condiciones definitivo.</w:t>
      </w:r>
    </w:p>
    <w:p w14:paraId="2916290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Igualmente, se preferirá la propuesta de la mujer víctima de violencia intrafamiliar, la cual acreditará esta condición de conformidad con el artículo 21 de la Ley 1257 de 2008 o la norma que lo modifique, aclare, adicione o sustituya, esto es, cuando se profiera una medida de protección expedida por la autoridad competente. En virtud del artículo 16</w:t>
      </w:r>
      <w:r w:rsidRPr="00283E81" w:rsidDel="00A44E16">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 xml:space="preserve">de la Ley 1257 de 2008 o la norma que lo modifique, aclare, adicione o sustituya, la medida de protección la debe impartir el comisario de familia del lugar donde ocurrieron los hechos y, a falta de este, del juez civil municipal o promiscuo municipal, o la autoridad indígena en los casos de violencia intrafamiliar en las comunidades de esta naturaleza. </w:t>
      </w:r>
    </w:p>
    <w:p w14:paraId="522F9EC5"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En el caso de las personas jurídicas se preferirá a aquellas en las que participen mayoritariamente mujeres cabeza de familia y/o mujeres víctimas de violencia intrafamiliar, para lo cual el representante legal o el revisor fiscal, según corresponda, diligenciará el «Formato 8 A – Participación mayoritaria de mujeres cabeza de familia y/o mujeres víctimas de violencia intrafamiliar (persona jurídica)», mediante el cual acreditará, bajo la gravedad del juramento, que más del cincuenta por ciento (50 %) de la composición accionaria o cuota parte de la persona jurídica está constituida por mujeres cabeza de familia y/o mujeres víctimas de violencia intrafamiliar. Además, deberá probar la condición indicada de cada una de las mujeres que participen en la sociedad, aportando los documentos que avalen el cumplimiento de los requisitos, de acuerdo con los dos incisos anteriores. </w:t>
      </w:r>
    </w:p>
    <w:p w14:paraId="07EAC722"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Finalmente, en el caso de los Proponentes Plurales, se preferirá la oferta cuando cada uno de los integrantes acredite alguna de las condiciones señaladas en los incisos anteriores de este numeral.</w:t>
      </w:r>
    </w:p>
    <w:p w14:paraId="54E6157A"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Debido a que para el otorgamiento de este criterio de desempate se entregan certificados que contienen datos </w:t>
      </w:r>
      <w:r w:rsidRPr="00283E81">
        <w:rPr>
          <w:rFonts w:ascii="Garamond" w:hAnsi="Garamond" w:cs="Arial"/>
          <w:color w:val="000000" w:themeColor="text1"/>
          <w:sz w:val="22"/>
          <w:szCs w:val="22"/>
          <w:lang w:val="es-MX"/>
        </w:rPr>
        <w:lastRenderedPageBreak/>
        <w:t>sensibles, de acuerdo con el artículo 5 de la Ley 1581 de 2012 o la norma que lo modifique, aclare, adicione o sustituya</w:t>
      </w:r>
      <w:r w:rsidRPr="00283E81" w:rsidDel="00F36DC1">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se requiere que el titular de la información, como son las mujeres víctimas de violencia intrafamiliar, en los términos del literal a) del artículo 6 de la Ley 1581 de 2012, diligencien el «Formato 11 – Autorización para el tratamiento de datos personales» mediante el cual autoricen de manera previa y expresa el tratamiento de esta información, </w:t>
      </w:r>
      <w:r w:rsidRPr="00283E81" w:rsidDel="005313E1">
        <w:rPr>
          <w:rFonts w:ascii="Garamond" w:hAnsi="Garamond" w:cs="Arial"/>
          <w:color w:val="000000" w:themeColor="text1"/>
          <w:sz w:val="22"/>
          <w:szCs w:val="22"/>
          <w:lang w:val="es-MX"/>
        </w:rPr>
        <w:t xml:space="preserve">como requisito para el otorgamiento del criterio de </w:t>
      </w:r>
      <w:r w:rsidRPr="00283E81">
        <w:rPr>
          <w:rFonts w:ascii="Garamond" w:hAnsi="Garamond" w:cs="Arial"/>
          <w:color w:val="000000" w:themeColor="text1"/>
          <w:sz w:val="22"/>
          <w:szCs w:val="22"/>
          <w:lang w:val="es-MX"/>
        </w:rPr>
        <w:t>desempate.</w:t>
      </w:r>
    </w:p>
    <w:p w14:paraId="19D2D705" w14:textId="77777777" w:rsidR="002077D8" w:rsidRPr="00283E81" w:rsidRDefault="002077D8" w:rsidP="003400E2">
      <w:pPr>
        <w:widowControl/>
        <w:numPr>
          <w:ilvl w:val="0"/>
          <w:numId w:val="92"/>
        </w:numPr>
        <w:tabs>
          <w:tab w:val="left" w:pos="284"/>
          <w:tab w:val="left" w:pos="709"/>
          <w:tab w:val="left" w:pos="851"/>
          <w:tab w:val="left" w:pos="993"/>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la propuesta presentada por el Proponente que acredite en las circunstancias establecidas en la ley que por lo menos el diez por ciento (10 %) de su nómina está en condición de discapacidad, de acuerdo con el artículo 24 de la Ley 361 de 1997 o la norma que lo modifique, aclare, adicione o sustituya, debidamente certificadas por la oficina del Ministerio del Trabajo de la respectiva zona, que hayan sido contratados con por lo menos un (1) año de anterioridad a la fecha de cierre del presente Proceso de Contratación o desde el momento de la constitución de la persona jurídica cuando esta es inferior a un (1) año y que manifieste adicionalmente que mantendrá dicho personal por un lapso igual al término de ejecución del Contrato, para lo cual deberá diligenciar el «Formato 8 B – Vinculación de personas en condición de discapacidad». </w:t>
      </w:r>
      <w:r w:rsidRPr="00283E81">
        <w:rPr>
          <w:rFonts w:ascii="Garamond" w:hAnsi="Garamond" w:cs="Arial"/>
          <w:color w:val="000000" w:themeColor="text1"/>
          <w:sz w:val="22"/>
          <w:szCs w:val="22"/>
        </w:rPr>
        <w:t>En caso de modificarse la fecha de cierre del proceso, se tendrá como referencia para establecer el plazo de vigencia del certificado la fecha originalmente contemplada en el Pliego de Condiciones definitivo.</w:t>
      </w:r>
    </w:p>
    <w:p w14:paraId="488F8B4B"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Si la oferta es presentada por un Proponente Plural, el integrante que acredite que el diez por ciento (10 %) de su nómina está en condición de discapacidad, en los términos del presente numeral, debe tener una participación de por lo menos el veinticinco por ciento (25 %) en la estructura plural y aportar como mínimo el veinticinco por ciento (25 %) de la experiencia acreditada en la oferta</w:t>
      </w:r>
      <w:r w:rsidRPr="00283E81" w:rsidDel="00B96BD3">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w:t>
      </w:r>
    </w:p>
    <w:p w14:paraId="45DFAA17"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El tiempo de vinculación en la planta referida de que trata este numeral se acreditará con el certificado de aportes a seguridad social del último año o del tiempo de su constitución cuando su conformación sea inferior a un (1) año, en el que se demuestren los pagos realizados por el empleador. </w:t>
      </w:r>
    </w:p>
    <w:p w14:paraId="308D1923" w14:textId="77777777" w:rsidR="002077D8" w:rsidRPr="00283E81" w:rsidRDefault="002077D8" w:rsidP="003400E2">
      <w:pPr>
        <w:pStyle w:val="Prrafodelista"/>
        <w:numPr>
          <w:ilvl w:val="0"/>
          <w:numId w:val="92"/>
        </w:numPr>
        <w:tabs>
          <w:tab w:val="left" w:pos="284"/>
          <w:tab w:val="left" w:pos="709"/>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 xml:space="preserve">Preferir la propuesta presentada por el oferente que acredite la vinculación en mayor proporción de personas que no sean beneficiarios de la pensión de vejez, familiar o de sobrevivencia y que hayan cumplido el requisito de edad de pensión establecido en la ley. Para ello la persona natural, el representante legal de la persona jurídica o el revisor fiscal, según corresponda, diligenciará el «Formato 8 C – Vinculación de personas no beneficiarias de la pensión de vejez, familiar o sobrevivencia – (Empleador – Proponente)», mediante la cual certificará bajo la gravedad de juramento las personas vinculadas en su nómina y el número de trabajadores que no son beneficiarios de la pensión de vejez, familiar o de sobrevivencia y que cumplieron el requisito de edad de pensión. Solo se valdrá la vinculación de aquellas personas que se encuentren en las condiciones descritas y que hayan estado vinculadas con una anterioridad igual o mayor a un (1) año contado a partir de la fecha del cierre del Proceso de Contratación. Para los casos de constitución inferior a un (1) año, se tendrá en cuenta a aquellos que hayan estado vinculados desde el momento de la constitución de la persona jurídica. </w:t>
      </w:r>
      <w:r w:rsidRPr="00283E81">
        <w:rPr>
          <w:rFonts w:ascii="Garamond" w:hAnsi="Garamond" w:cs="Arial"/>
          <w:color w:val="000000" w:themeColor="text1"/>
        </w:rPr>
        <w:t xml:space="preserve">En caso de modificarse la </w:t>
      </w:r>
      <w:r w:rsidRPr="00283E81">
        <w:rPr>
          <w:rFonts w:ascii="Garamond" w:hAnsi="Garamond" w:cs="Arial"/>
          <w:color w:val="000000" w:themeColor="text1"/>
        </w:rPr>
        <w:lastRenderedPageBreak/>
        <w:t>fecha de cierre del proceso, se tendrá como referencia para establecer el plazo de vigencia del certificado la fecha originalmente contemplada en el Pliego de Condiciones definitivo.</w:t>
      </w:r>
    </w:p>
    <w:p w14:paraId="300A12F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El tiempo de vinculación en la planta referida de que trata el inciso anterior se acreditará con el certificado de aportes a la seguridad social del último año o del tiempo de constitución de la persona jurídica en caso de que esta sea inferior a un (1) año, en el que se demuestren los pagos realizados por el empleador.</w:t>
      </w:r>
      <w:r w:rsidRPr="00283E81" w:rsidDel="0068395B">
        <w:rPr>
          <w:rFonts w:ascii="Garamond" w:hAnsi="Garamond" w:cs="Arial"/>
          <w:color w:val="000000" w:themeColor="text1"/>
          <w:sz w:val="22"/>
          <w:szCs w:val="22"/>
          <w:lang w:val="es-MX"/>
        </w:rPr>
        <w:t xml:space="preserve"> </w:t>
      </w:r>
    </w:p>
    <w:p w14:paraId="0D86002C"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el caso de los Proponentes Plurales, su representante legal diligenciará el «Formato 8 C – Vinculación de personas no beneficiarias de la pensión de vejez, familiar o sobrevivencia – (Empleador – Proponente)», mediante el cual certifique el número de trabajadores vinculados que son personas no beneficiarias de la pensión de vejez, familiar o de sobrevivencia, y que cumplieron el requisito de edad de pensión establecido en la ley, de todos los integrantes del Proponente. Las personas enunciadas anteriormente podrán estar vinculadas a cualquiera de sus integrantes.</w:t>
      </w:r>
    </w:p>
    <w:p w14:paraId="68C1502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cualquiera de los dos supuestos anteriores, para el otorgamiento del criterio de desempate, cada uno de los trabajadores que cumpla las condiciones previstas por la ley diligenciará el «Formato 8 C – Vinculación de personas no beneficiarias de la pensión de vejez, familiar o sobrevivencia (Trabajador)», mediante el cual certifica bajo la gravedad del juramento que no es beneficiario de pensión de vejez, familiar o sobrevivencia, y cumple la edad de pensión; además, se deberá allegar el documento de identificación del trabajador que lo firma.</w:t>
      </w:r>
    </w:p>
    <w:p w14:paraId="5B2DD764"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La mayor proporción se definirá en relación con el número total de trabajadores vinculados en la planta de personal, por lo que se preferirá al oferente que acredite un mayor porcentaje. En el caso de Proponentes Plurales, la mayor proporción se definirá con la sumatoria de trabajadores vinculados en la planta de personal de cada uno de sus integrantes.</w:t>
      </w:r>
    </w:p>
    <w:p w14:paraId="08ACF9A3" w14:textId="77777777" w:rsidR="002077D8" w:rsidRPr="00283E81" w:rsidRDefault="002077D8" w:rsidP="003400E2">
      <w:pPr>
        <w:pStyle w:val="Prrafodelista"/>
        <w:numPr>
          <w:ilvl w:val="0"/>
          <w:numId w:val="92"/>
        </w:numPr>
        <w:tabs>
          <w:tab w:val="left" w:pos="284"/>
          <w:tab w:val="left" w:pos="709"/>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 xml:space="preserve">Preferir la propuesta presentada por el oferente que acredite, que por lo menos el diez por ciento (10 %) de su nómina pertenece a población indígena, negra, afrocolombiana, raizal, palanquera, Rrom o gitana, para lo cual, la persona natural, el representante legal o el revisor fiscal, según corresponda, bajo la gravedad de juramento, diligenciará el  «Formato 8 D – Vinculación de población indígena, negra, afrocolombiana, raizal, palenquera, Rrom o gitanas» mediante el cual certifica las personas vinculadas a su nómina y el número de identificación y el nombre de las personas que pertenecen a la población indígena, negra, afrocolombiana, raizal, palanquera, Rrom o gitana. Solo se tendrá en cuenta aquellas personas que hayan estado vinculadas con una anterioridad igual o mayor a un (1) año contado a partir de la fecha del cierre del proceso. Para los casos de constitución inferior a un (1) año, se valdrá aquellos que hayan estado vinculados desde el momento de constitución de la persona jurídica. </w:t>
      </w:r>
      <w:r w:rsidRPr="00283E81">
        <w:rPr>
          <w:rFonts w:ascii="Garamond" w:eastAsiaTheme="minorHAnsi" w:hAnsi="Garamond" w:cs="Arial"/>
          <w:color w:val="000000" w:themeColor="text1"/>
        </w:rPr>
        <w:t>En caso de modificarse la fecha de cierre del proceso, se tendrá como referencia para establecer el plazo de vigencia del certificado la fecha originalmente contemplada en el Pliego de Condiciones definitivo.</w:t>
      </w:r>
    </w:p>
    <w:p w14:paraId="6EF1A1AD"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El tiempo de vinculación en la planta referida de que trata el inciso anterior se acreditará con el certificado de </w:t>
      </w:r>
      <w:r w:rsidRPr="00283E81">
        <w:rPr>
          <w:rFonts w:ascii="Garamond" w:hAnsi="Garamond" w:cs="Arial"/>
          <w:color w:val="000000" w:themeColor="text1"/>
          <w:sz w:val="22"/>
          <w:szCs w:val="22"/>
          <w:lang w:val="es-MX"/>
        </w:rPr>
        <w:lastRenderedPageBreak/>
        <w:t xml:space="preserve">aportes a la seguridad social en el que se demuestren los pagos realizados por el empleador en el último año contado a partir de la fecha del cierre del proceso o del tiempo de su constitución cuando esta es inferior a un (1) año. </w:t>
      </w:r>
    </w:p>
    <w:p w14:paraId="46D46448"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Además, deberá aportar la copia de la certificación expedida por el Ministerio del Interior en la cual acredite que los trabajadores pertenecen a la población indígena, negra, afrocolombiana, raizal, palenquera, Rrom o gitana en los términos del Decreto Ley 2893 de 2011, o la norma que lo modifique, sustituya o complemente.</w:t>
      </w:r>
    </w:p>
    <w:p w14:paraId="5D17F08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el caso de los Proponentes Plurales, su representante legal diligenciará el «Formato 8 D – Vinculación de población indígena, negra, afrocolombiana, raizal, palenquera, Rrom o gitana», mediante el cual certifica que por lo menos el diez por ciento (10 %) del total de la nómina de sus integrantes pertenece a población indígena, negra, afrocolombiana, raizal, palanquera, Rrom o gitana. Este porcentaje se definirá de acuerdo con la sumatoria de la nómina de cada uno de los integrantes del Proponente Plural. Las personas enunciadas anteriormente podrán estar vinculadas</w:t>
      </w:r>
      <w:r w:rsidRPr="00283E81" w:rsidDel="00D87DBB">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a cualquiera de sus integrantes. En todo caso, deberá aportar la copia de la certificación expedida por el Ministerio del Interior, en la cual acredite que el trabajador pertenece a la población indígena, negra, afrocolombiana, raizal, palenquera, Rrom o gitana en los términos del Decreto Ley 2893 de 2011, o la norma que lo modifique, sustituya o complemente.</w:t>
      </w:r>
    </w:p>
    <w:p w14:paraId="7A72503D"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Debido a que para el otorgamiento de este criterio de desempate se entregan certificados que contienen datos sensibles, de acuerdo con el artículo 5 de la Ley 1581 de 2012 o la norma que lo modifique, aclare, adicione o sustituya, se requiere que el titular de la información de estos, como son las personas que pertenecen a la población indígena, negra, afrocolombiana, raizal, palenquera, Rrom o gitana,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w:t>
      </w:r>
    </w:p>
    <w:p w14:paraId="0E7D2A07" w14:textId="77777777" w:rsidR="002077D8" w:rsidRPr="00283E81" w:rsidRDefault="002077D8" w:rsidP="003400E2">
      <w:pPr>
        <w:pStyle w:val="Prrafodelista"/>
        <w:numPr>
          <w:ilvl w:val="0"/>
          <w:numId w:val="92"/>
        </w:numPr>
        <w:tabs>
          <w:tab w:val="left" w:pos="284"/>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Preferir la propuesta de personas naturales en proceso de reintegración o reincorporación para lo cual presentará copia de alguno de los siguientes documentos: i) la certificación en las desmovilizaciones colectivas que expida la Oficina del Alto Comisionado para la Paz, ii) el certificado que emita el Comité Operativo para la Dejación de las Armas respecto de las personas desmovilizadas en forma individual, iii) el certificado que emita la Agencia para la Reincorporación y la Normalización que acredite que la persona se encuentra en proceso de reincorporación o reintegración o iv) cualquier otro certificado que para el efecto determine la Ley. Además, se entregará copia del documento de identificación de la persona en proceso de reintegración o reincorporación.</w:t>
      </w:r>
    </w:p>
    <w:p w14:paraId="72C1F76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En el caso de las personas jurídicas, el representante legal o el revisor fiscal, si están obligados a tenerlo, diligenciarán el «Formato 8 E- Participación mayoritaria de personas en proceso de reincorporación y/o reintegración (personas jurídicas)», por medio del cual certificarán bajo la gravedad del juramento que más del cincuenta por ciento (50 %) de la composición accionaria o cuotas partes de la persona jurídica está constituida </w:t>
      </w:r>
      <w:r w:rsidRPr="00283E81">
        <w:rPr>
          <w:rFonts w:ascii="Garamond" w:hAnsi="Garamond" w:cs="Arial"/>
          <w:color w:val="000000" w:themeColor="text1"/>
          <w:sz w:val="22"/>
          <w:szCs w:val="22"/>
          <w:lang w:val="es-MX"/>
        </w:rPr>
        <w:lastRenderedPageBreak/>
        <w:t>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163C1DDB"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 de la composición accionaria o cuotas partes esté constituida por personas en proceso de reincorporación, para lo que el representante legal, o el revisor fiscal, si está obligado a tenerlo, diligenciarán, bajo la gravedad del juramento, el «Formato 8 E – Participación mayoritaria de personas en proceso de reincorporación (personas jurídica integrante del Proponente Plural)», y aportará los documentos de identificación de las personas en proceso de reincorporación.</w:t>
      </w:r>
    </w:p>
    <w:p w14:paraId="1B521754"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Debido a que para el otorgamiento de este criterio de desempate se entregan certificados que contienen datos sensibles, de acuerdo con el artículo 5 de la Ley 1581 de 2012 o la norma que lo modifique, aclare, adicione o sustituya, se requiere que el titular de la información, como son las personas en proceso de reincorporación o reintegración,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 </w:t>
      </w:r>
    </w:p>
    <w:p w14:paraId="3755B0E8" w14:textId="77777777" w:rsidR="002077D8" w:rsidRPr="00283E81" w:rsidRDefault="002077D8" w:rsidP="003400E2">
      <w:pPr>
        <w:widowControl/>
        <w:numPr>
          <w:ilvl w:val="0"/>
          <w:numId w:val="92"/>
        </w:numPr>
        <w:tabs>
          <w:tab w:val="left" w:pos="284"/>
          <w:tab w:val="left" w:pos="709"/>
          <w:tab w:val="left" w:pos="851"/>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 Preferir la oferta presentada por un Proponente Plural siempre que se cumplan las condiciones de los siguientes literales:</w:t>
      </w:r>
    </w:p>
    <w:p w14:paraId="6D708161"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Esté conformado por al menos una madre cabeza de familia y/o una persona en proceso de reincorporación o reintegración, para lo cual se acreditarán estas condiciones de acuerdo con lo previsto en el inciso 1 del numeral 2 y/o el inciso 1 del numeral 6, de los criterios de desempate del presente Pliego de Condiciones; o por una persona jurídica en la cual participe o participen mayoritariamente madres cabeza de familia y/o personas en proceso de reincorporación o reintegración, para lo cual el representante legal o el revisor fiscal, si están obligados a tenerlo, diligenciará el «Formato 8 F – Participación mayoritaria de mujeres cabeza de familia y/o personas en proceso de reincorporación o reintegración (personas jurídicas)», mediante el cual certifica, bajo la gravedad del juramento, que más del cincuenta por ciento (50 %) de la composición accionaria o cuota parte de la persona jurídica está constituida por madres cabeza de familia y/o personas en proceso de reincorporación o reintegración. Además, deberá acreditar la condición indicada de las personas que participe en la sociedad que sean mujeres cabeza de familia y/o personas en proceso de reincorporación o reintegración, allegando los documentos de cada uno de ellos, de acuerdo con lo previsto en este literal. Este integrante debe tener una participación de por lo menos el veinticinco por ciento (25 %) en el Proponente Plural.</w:t>
      </w:r>
    </w:p>
    <w:p w14:paraId="102062EC"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 xml:space="preserve">(b) el integrante del Proponente Plural de que trata el anterior literal debe aportar mínimo el veinticinco por ciento (25 %) de la experiencia acreditada en la oferta. </w:t>
      </w:r>
    </w:p>
    <w:p w14:paraId="457FB4CD"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ab/>
        <w:t xml:space="preserve">(c) en relación con el integrante del literal a)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persona natural o el representante legal de la persona jurídica de que trata el literal a) lo manifestará diligenciando el «Formato 8 F Participación mayoritaria de mujeres cabeza de familia y/o personas en proceso de reincorporación y/o reintegración». </w:t>
      </w:r>
    </w:p>
    <w:p w14:paraId="4F47F7BC"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 xml:space="preserve">Debido a que para el otorgamiento de este criterio de desempate se entregan certificados que contienen datos sensibles, de acuerdo con el artículo 5 de la Ley 1581 de 2012 o la norma que lo modifique, aclare, adiciona o sustituya, se requiere que el titular de la información, como son las personas en proceso de reincorporación y/o reintegración, en los términos del literal a) del artículo 6 de la Ley 1581 de 2012, diligencien el «Formato 11- Autorización para el tratamiento de datos personales» mediante el cual autoriza de manera previa y expresa el tratamiento de esta información, como requisito para el otorgamiento del criterio de desempate. </w:t>
      </w:r>
    </w:p>
    <w:p w14:paraId="16F7CA48"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Preferir la oferta presentada por una Mipyme, lo cual se verificará en los términos del parágrafo del artículo 2.2.1.2.4.2.4 del Decreto 1082 de 2015, en concordancia con el parágrafo del artículo 2.2.1.13.2.4 del Decreto 1074 de 2015. En este sentido, el tamaño empresarial se acreditará con la copia del certificado del Registro Único de Proponentes, el cual deberá encontrarse vigente y en firme al momento de su presentación.</w:t>
      </w:r>
    </w:p>
    <w:p w14:paraId="3B17DD9C"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Asimismo, se preferirá la oferta presentada por una cooperativa o asociaciones mutuales para lo cual se aportará el certificado de existencia y representación legal expedido por la cámara de comercio o la autoridad respectiva. En el caso </w:t>
      </w:r>
      <w:r w:rsidRPr="00283E81" w:rsidDel="00C91E2F">
        <w:rPr>
          <w:rFonts w:ascii="Garamond" w:hAnsi="Garamond" w:cs="Arial"/>
          <w:color w:val="000000" w:themeColor="text1"/>
          <w:sz w:val="22"/>
          <w:szCs w:val="22"/>
          <w:lang w:val="es-MX"/>
        </w:rPr>
        <w:t xml:space="preserve">específico </w:t>
      </w:r>
      <w:r w:rsidRPr="00283E81">
        <w:rPr>
          <w:rFonts w:ascii="Garamond" w:hAnsi="Garamond" w:cs="Arial"/>
          <w:color w:val="000000" w:themeColor="text1"/>
          <w:sz w:val="22"/>
          <w:szCs w:val="22"/>
          <w:lang w:val="es-MX"/>
        </w:rPr>
        <w:t>en que el empate se presente entre cooperativas o asociaciones mutuales que tengan el tamaño empresarial de grandes empresas junto con micro, pequeñas o medianas, se preferirá la oferta de las cooperativas o asociaciones mutuales que cumplan con los criterios de clasificación empresarial definidos por el Decreto 1074 de 2015 o la norma que lo modifique, aclare, adicione o sustituya, que sean micro, pequeñas o medianas.</w:t>
      </w:r>
    </w:p>
    <w:p w14:paraId="1D9D7F05"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Tratándose de Proponentes Plurales, se preferirá la oferta cuando cada uno de los integrantes acredite alguna de las condiciones señaladas en los incisos anteriores de este numeral. En el evento en que se presente empate entre Proponentes Plurales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3E1E9206"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la oferta presentada por el Proponente Plural constituido en su totalidad por micro y/o pequeñas empresas, cooperativas o asociaciones mutuales. </w:t>
      </w:r>
    </w:p>
    <w:p w14:paraId="35D4B44A"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La condición de micro o pequeña empresa se verificará en los términos del artículo 2.2.1.2.4.2.4 del Decreto 1082 de 2015, en concordancia con el parágrafo del artículo 2.2.1.13.2.4 del Decreto 1074 de 2015, esto es, el tamaño empresarial se acreditará con la copia del certificado del Registro Único de Proponentes, el cual deberá encontrarse vigente y en firme al momento de su presentación.</w:t>
      </w:r>
    </w:p>
    <w:p w14:paraId="3C1558FE" w14:textId="77777777" w:rsidR="002077D8" w:rsidRPr="00283E81" w:rsidRDefault="002077D8" w:rsidP="002077D8">
      <w:pPr>
        <w:tabs>
          <w:tab w:val="left" w:pos="284"/>
          <w:tab w:val="left" w:pos="490"/>
          <w:tab w:val="left" w:pos="567"/>
        </w:tabs>
        <w:spacing w:after="240" w:line="276" w:lineRule="auto"/>
        <w:ind w:hanging="77"/>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La condición de cooperativa o asociación mutual se acreditará con el certificado de existencia y representación legal expedido por la cámara de comercio o la autoridad respectiva.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1A03E783"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al oferente persona natural o jurídica que acredite, de acuerdo con sus estados financieros o información contable con corte al 31 de diciembre del año anterior, que por lo menos el veinticinco por ciento (25 %) del total de sus pagos fueron realizados a Mipyme, cooperativas o asociaciones mutuales por concepto de proveeduría del oferente, efectuados durante el año anterior, para lo cual el Proponente persona natural y contador público; o el representante legal de la persona jurídica y el revisor fiscal para las personas obligadas por ley; o del representante legal de la persona jurídica y contador público, según corresponda, diligenciará bajo la gravedad de juramento el «Formato 8 G- Pagos realizados a Mipyme, cooperativas o asociaciones mutuales», en el que conste que por lo menos el veinticinco por ciento (25%) del total de pagos fueron realizados a Mipyme, cooperativas o asociaciones mutuales. </w:t>
      </w:r>
    </w:p>
    <w:p w14:paraId="22D53AE6" w14:textId="77777777" w:rsidR="002077D8" w:rsidRPr="00283E81" w:rsidRDefault="002077D8" w:rsidP="002077D8">
      <w:pPr>
        <w:tabs>
          <w:tab w:val="left" w:pos="284"/>
          <w:tab w:val="left" w:pos="567"/>
          <w:tab w:val="left" w:pos="993"/>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Igualmente, cuando la oferta es presentada por un Proponente Plural se preferirá a este siempre que: </w:t>
      </w:r>
    </w:p>
    <w:p w14:paraId="694146C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esté conformado por al menos una Mipyme, cooperativa o asociación mutual que tenga una participación de por lo menos el veinticinco por ciento (25 %) en el Proponente Plural, para lo cual se presentará el documento de conformación del Proponente Plural y, además, ese integrante acredite la condición de Mipyme, cooperativa o asociación mutual en los términos del numeral 8;</w:t>
      </w:r>
    </w:p>
    <w:p w14:paraId="0844DCC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(b</w:t>
      </w:r>
      <w:r w:rsidRPr="00283E81" w:rsidDel="001478A6">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la Mipyme, cooperativa o asociación mutual aporte mínimo el veinticinco por ciento (25 %) de la experiencia acreditada en la oferta;</w:t>
      </w:r>
      <w:r w:rsidRPr="00283E81" w:rsidDel="00944EBB">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 xml:space="preserve">y </w:t>
      </w:r>
    </w:p>
    <w:p w14:paraId="54D625F1"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(c) ni la Mipyme, cooperativa o asociación mutual ni sus accionistas, socios o representantes legales sean empleados, socios o accionistas de los integrantes del Proponente Plural, para lo cual el integrante respectivo lo manifestará diligenciando el «Formato 8 H – Acreditación Mipyme», suscrito por la persona natural o el representante legal de la persona jurídica. </w:t>
      </w:r>
    </w:p>
    <w:p w14:paraId="367A671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10D2B834"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eastAsiaTheme="minorEastAsia" w:hAnsi="Garamond" w:cs="Arial"/>
          <w:color w:val="000000" w:themeColor="text1"/>
          <w:sz w:val="22"/>
          <w:szCs w:val="22"/>
          <w:lang w:val="es-MX"/>
        </w:rPr>
      </w:pPr>
      <w:r w:rsidRPr="00283E81">
        <w:rPr>
          <w:rFonts w:ascii="Garamond" w:eastAsiaTheme="minorEastAsia" w:hAnsi="Garamond" w:cs="Arial"/>
          <w:color w:val="000000" w:themeColor="text1"/>
          <w:sz w:val="22"/>
          <w:szCs w:val="22"/>
          <w:lang w:val="es-MX"/>
        </w:rPr>
        <w:t xml:space="preserve">Preferir las empresas reconocidas y establecidas como Sociedad de Beneficio e Interés Colectivo o Sociedad BIC, del segmento Mipyme, para lo cual se presentará el certificado de existencia y representación legal en el que conste el cumplimiento de los requisitos del artículo 2 de la Ley 1901 de 2018, o la norma que la modifique o la sustituya. Asimismo, acreditará la condición de Mipyme en los términos del numeral 8. </w:t>
      </w:r>
    </w:p>
    <w:p w14:paraId="7EF14F3F"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Tratándose de Proponentes Plurales, se preferirá la oferta cuando cada uno de los integrantes acredite las condiciones señaladas en el inciso anterior de este numeral.</w:t>
      </w:r>
    </w:p>
    <w:p w14:paraId="0A7A121C" w14:textId="77777777" w:rsidR="002077D8" w:rsidRPr="00283E81" w:rsidRDefault="002077D8" w:rsidP="003400E2">
      <w:pPr>
        <w:pStyle w:val="Prrafodelista"/>
        <w:numPr>
          <w:ilvl w:val="0"/>
          <w:numId w:val="92"/>
        </w:numPr>
        <w:tabs>
          <w:tab w:val="left" w:pos="0"/>
          <w:tab w:val="left" w:pos="851"/>
          <w:tab w:val="left" w:pos="927"/>
        </w:tabs>
        <w:spacing w:after="240" w:line="276" w:lineRule="auto"/>
        <w:ind w:left="0" w:firstLine="0"/>
        <w:rPr>
          <w:rFonts w:ascii="Garamond" w:eastAsiaTheme="minorHAnsi" w:hAnsi="Garamond" w:cs="Arial"/>
          <w:color w:val="000000" w:themeColor="text1"/>
          <w:lang w:val="es-MX"/>
        </w:rPr>
      </w:pPr>
      <w:r w:rsidRPr="00283E81">
        <w:rPr>
          <w:rFonts w:ascii="Garamond" w:hAnsi="Garamond" w:cs="Arial"/>
          <w:color w:val="000000" w:themeColor="text1"/>
          <w:lang w:val="es-MX"/>
        </w:rPr>
        <w:t>Preferir la propuesta presentada por personas que acrediten: (a) ser jóvenes Egresados del Sistema de Protección del ICBF en las condiciones establecidas en la ley; o (b) de la persona jurídica en la cual participe o participen mayoritariamente, es decir, que más del cincuenta por ciento (50%) de la composición accionaria o cuota parte de la persona jurídica está constituida por jóvenes egresados del Sistema de Protección del ICBF; o, (c) la oferta presentada por de un proponente plural con una participación de al menos un veinticinco por ciento (25%) de una persona que acredite ser Egresado del Sistema de Protección del ICBF o una persona jurídica en las cuales se acredite participación mayoritaria de jóvenes egresados del Sistema de Protección del ICBF. Dicha calidad se acreditará por la Entidad competente.</w:t>
      </w:r>
    </w:p>
    <w:p w14:paraId="08157725"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eastAsiaTheme="minorEastAsia" w:hAnsi="Garamond" w:cs="Arial"/>
          <w:color w:val="000000" w:themeColor="text1"/>
          <w:sz w:val="22"/>
          <w:szCs w:val="22"/>
          <w:lang w:val="es-MX"/>
        </w:rPr>
      </w:pPr>
      <w:r w:rsidRPr="00283E81">
        <w:rPr>
          <w:rFonts w:ascii="Garamond" w:eastAsiaTheme="minorEastAsia" w:hAnsi="Garamond" w:cs="Arial"/>
          <w:color w:val="000000" w:themeColor="text1"/>
          <w:sz w:val="22"/>
          <w:szCs w:val="22"/>
          <w:lang w:val="es-MX"/>
        </w:rPr>
        <w:t>Si después de aplicar los criterios anteriormente mencionados persiste el empate:</w:t>
      </w:r>
    </w:p>
    <w:p w14:paraId="3A88780B"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La Entidad ordenará a los Proponentes empatados en orden alfabético según el nombre completo de la persona natural, la persona jurídica o el Proponente Plural. En caso de que dos o más Proponentes tengan el mismo nombre se colocará primero en el orden a quienes hayan presentado primero en el tiempo sus ofertas. Una vez ordenados, le asignará un número entero a cada uno de estos de forma ascendente, de tal manera que al primero de la lista le corresponda el 1.</w:t>
      </w:r>
    </w:p>
    <w:p w14:paraId="20722147"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(b) Seguidamente, la Entidad debe tomar la parte entera (números a la izquierda de la coma decimal) de la TRM que rigió el día del cierre del proceso. La Entidad debe dividir esta parte entera entre el número total de Proponentes en empate, para posteriormente tomar su residuo y utilizarlo en la selección final.</w:t>
      </w:r>
    </w:p>
    <w:p w14:paraId="55736E1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(c) Realizados estos cálculos, la Entidad seleccionará a aquel Proponente que presente coincidencia entre el número asignado y el residuo encontrado. En caso de que el residuo sea cero (0), se escogerá al Proponente con </w:t>
      </w:r>
      <w:r w:rsidRPr="00283E81">
        <w:rPr>
          <w:rFonts w:ascii="Garamond" w:hAnsi="Garamond" w:cs="Arial"/>
          <w:color w:val="000000" w:themeColor="text1"/>
          <w:sz w:val="22"/>
          <w:szCs w:val="22"/>
          <w:lang w:val="es-MX"/>
        </w:rPr>
        <w:lastRenderedPageBreak/>
        <w:t>el mayor número asignado.</w:t>
      </w:r>
    </w:p>
    <w:p w14:paraId="4854601F" w14:textId="77777777" w:rsidR="002077D8" w:rsidRPr="00283E81" w:rsidDel="00D83B3B"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22:</w:t>
      </w:r>
      <w:r w:rsidRPr="00283E81">
        <w:rPr>
          <w:rFonts w:ascii="Garamond" w:hAnsi="Garamond" w:cs="Arial"/>
          <w:color w:val="000000" w:themeColor="text1"/>
          <w:sz w:val="22"/>
          <w:szCs w:val="22"/>
          <w:lang w:val="es-MX"/>
        </w:rPr>
        <w:t xml:space="preserve"> 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67F85C54" w14:textId="77777777" w:rsidR="002077D8" w:rsidRPr="00283E81"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23:</w:t>
      </w:r>
      <w:r w:rsidRPr="00283E81">
        <w:rPr>
          <w:rFonts w:ascii="Garamond" w:hAnsi="Garamond" w:cs="Arial"/>
          <w:color w:val="000000" w:themeColor="text1"/>
          <w:sz w:val="22"/>
          <w:szCs w:val="22"/>
          <w:lang w:val="es-MX"/>
        </w:rPr>
        <w:t xml:space="preserve"> Si el empate entre las propuestas se presenta con un Proponente, bien o servicio extranjero cuyo país de origen no tiene Acuerdo Comercial con Colombia, ni trato nacional por reciprocidad o con ocasión de la normativa comunitaria, se dará aplicación a todos los criterios de desempate previstos en el presente numeral.</w:t>
      </w:r>
    </w:p>
    <w:p w14:paraId="3DFADEE7" w14:textId="77777777" w:rsidR="002077D8" w:rsidRPr="00283E81" w:rsidRDefault="002077D8" w:rsidP="002077D8">
      <w:pPr>
        <w:tabs>
          <w:tab w:val="left" w:pos="426"/>
          <w:tab w:val="left" w:pos="567"/>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24:</w:t>
      </w:r>
      <w:r w:rsidRPr="00283E81">
        <w:rPr>
          <w:rFonts w:ascii="Garamond" w:hAnsi="Garamond" w:cs="Arial"/>
          <w:color w:val="000000" w:themeColor="text1"/>
          <w:sz w:val="22"/>
          <w:szCs w:val="22"/>
          <w:lang w:val="es-MX"/>
        </w:rPr>
        <w:t xml:space="preserve"> Conforme con el artículo 18 de la Ley 1712 de 2014 y los artículos 5 y 6 de la Ley 1581 de 2012, la Entidad garantizará el derecho a la reserva legal de toda aquella información que acredita el cumplimiento de los factores de desempate de: i) las mujeres víctimas de violencia intrafamiliar, ii) las personas en proceso de reincorporación y/o reintegración y iii) la población indígena, negra, afrocolombiana, raizal, palenquera, Rrom o gitana.</w:t>
      </w:r>
    </w:p>
    <w:p w14:paraId="5C461C55" w14:textId="77777777" w:rsidR="002077D8" w:rsidRPr="00283E81"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De acuerdo con lo anterior, en la plataforma del SECOP no se publicará la información relacionada con los factores de desempate de personas en procesos de reincorporación o reintegración o mujeres víctimas de violencia intrafamiliar o la población indígena, negra, afrocolombiana, raizal, palenquera, Rrom o gitana, puesto que su público conocimiento puede afectar el derecho a la intimidad de los oferentes o de sus trabajadores o socios o accionistas.</w:t>
      </w:r>
    </w:p>
    <w:p w14:paraId="08B9CF9C" w14:textId="77777777" w:rsidR="002077D8" w:rsidRPr="00283E81" w:rsidRDefault="002077D8" w:rsidP="002077D8">
      <w:pPr>
        <w:tabs>
          <w:tab w:val="left" w:pos="284"/>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bCs/>
          <w:color w:val="000000" w:themeColor="text1"/>
          <w:sz w:val="22"/>
          <w:szCs w:val="22"/>
          <w:lang w:val="es-MX"/>
        </w:rPr>
        <w:t>Nota 25:</w:t>
      </w:r>
      <w:r w:rsidRPr="00283E81">
        <w:rPr>
          <w:rFonts w:ascii="Garamond" w:hAnsi="Garamond" w:cs="Arial"/>
          <w:color w:val="000000" w:themeColor="text1"/>
          <w:sz w:val="22"/>
          <w:szCs w:val="22"/>
          <w:lang w:val="es-MX"/>
        </w:rPr>
        <w:t xml:space="preserve"> Para efectos de los factores de desempate dispuestos en este numeral, se entiende por experiencia acreditada en la oferta, la sumatoria de los Contratos que demuestren la experiencia general de la actividad principal, expresados en salarios mínimos mensuales legales vigentes (SMMLV). </w:t>
      </w:r>
    </w:p>
    <w:p w14:paraId="297CBEE2" w14:textId="148B4534" w:rsidR="00F768D0" w:rsidRPr="00283E81" w:rsidRDefault="00F768D0" w:rsidP="0CC143A9">
      <w:pPr>
        <w:tabs>
          <w:tab w:val="left" w:pos="284"/>
          <w:tab w:val="left" w:pos="993"/>
        </w:tabs>
        <w:ind w:left="284" w:right="116"/>
        <w:jc w:val="both"/>
        <w:rPr>
          <w:rFonts w:ascii="Garamond" w:eastAsia="Garamond" w:hAnsi="Garamond" w:cs="Garamond"/>
          <w:color w:val="D13438"/>
          <w:sz w:val="22"/>
          <w:szCs w:val="22"/>
        </w:rPr>
      </w:pPr>
    </w:p>
    <w:p w14:paraId="207A1FF3" w14:textId="12197F9F" w:rsidR="00F768D0" w:rsidRPr="00283E81" w:rsidRDefault="00F768D0" w:rsidP="009914A3">
      <w:pPr>
        <w:pStyle w:val="Standard"/>
        <w:tabs>
          <w:tab w:val="left" w:pos="993"/>
        </w:tabs>
        <w:ind w:right="116"/>
        <w:jc w:val="both"/>
        <w:rPr>
          <w:rFonts w:ascii="Garamond" w:hAnsi="Garamond"/>
          <w:sz w:val="22"/>
          <w:szCs w:val="22"/>
        </w:rPr>
      </w:pPr>
      <w:bookmarkStart w:id="83" w:name="_heading=h.cwnhsacuqzfo"/>
      <w:bookmarkEnd w:id="83"/>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12A4004D" w14:textId="77777777" w:rsidTr="0CC143A9">
        <w:trPr>
          <w:jc w:val="center"/>
        </w:trPr>
        <w:tc>
          <w:tcPr>
            <w:tcW w:w="9498" w:type="dxa"/>
            <w:shd w:val="clear" w:color="auto" w:fill="D9D9D9" w:themeFill="background1" w:themeFillShade="D9"/>
          </w:tcPr>
          <w:p w14:paraId="082871D7" w14:textId="772FD24D" w:rsidR="00F768D0" w:rsidRPr="00283E81" w:rsidRDefault="62C1FB9C" w:rsidP="0CC143A9">
            <w:pPr>
              <w:pStyle w:val="Standard"/>
              <w:jc w:val="both"/>
              <w:rPr>
                <w:rFonts w:ascii="Garamond" w:hAnsi="Garamond" w:cs="Arial"/>
                <w:b/>
                <w:bCs/>
                <w:color w:val="000000" w:themeColor="text1"/>
                <w:sz w:val="22"/>
                <w:szCs w:val="22"/>
              </w:rPr>
            </w:pPr>
            <w:bookmarkStart w:id="84" w:name="_Hlk79059128"/>
            <w:bookmarkEnd w:id="10"/>
            <w:r w:rsidRPr="00283E81">
              <w:rPr>
                <w:rFonts w:ascii="Garamond" w:hAnsi="Garamond" w:cs="Arial"/>
                <w:b/>
                <w:bCs/>
                <w:sz w:val="22"/>
                <w:szCs w:val="22"/>
              </w:rPr>
              <w:t>6</w:t>
            </w:r>
            <w:r w:rsidRPr="00283E81">
              <w:rPr>
                <w:rFonts w:ascii="Garamond" w:hAnsi="Garamond" w:cs="Arial"/>
                <w:b/>
                <w:bCs/>
                <w:color w:val="000000" w:themeColor="text1"/>
                <w:sz w:val="22"/>
                <w:szCs w:val="22"/>
              </w:rPr>
              <w:t xml:space="preserve">. </w:t>
            </w:r>
            <w:r w:rsidR="783D0D04" w:rsidRPr="00283E81">
              <w:rPr>
                <w:rFonts w:ascii="Garamond" w:hAnsi="Garamond" w:cs="Arial"/>
                <w:b/>
                <w:bCs/>
                <w:color w:val="000000" w:themeColor="text1"/>
                <w:sz w:val="22"/>
                <w:szCs w:val="22"/>
              </w:rPr>
              <w:t>SOPORTE QUE PERMITA LA ESTIMACIÓN, TIPIFICACIÓN Y ASIGNACIÓN DE LOS RIESGOS PREVISIBLES INVOLUCRADOS EN LA CONTRATACIÓN.</w:t>
            </w:r>
          </w:p>
        </w:tc>
      </w:tr>
      <w:bookmarkEnd w:id="84"/>
    </w:tbl>
    <w:p w14:paraId="38AC507B" w14:textId="77777777" w:rsidR="00F768D0" w:rsidRPr="00283E81" w:rsidRDefault="00F768D0" w:rsidP="00F768D0">
      <w:pPr>
        <w:pStyle w:val="Standard"/>
        <w:jc w:val="both"/>
        <w:rPr>
          <w:rFonts w:ascii="Garamond" w:hAnsi="Garamond" w:cs="Arial"/>
          <w:color w:val="A6A6A6"/>
          <w:sz w:val="22"/>
          <w:szCs w:val="22"/>
        </w:rPr>
      </w:pPr>
    </w:p>
    <w:p w14:paraId="3CF08DA2" w14:textId="7586E22C"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De acuerdo con lo establecido en el Artículo 4 de la Ley 1150 de 2007, el Decreto 1082 de 2015, documento CONPES 3714 y el manual de aplicación que sobre éste respecto emitió Colombia Compra Eficiente, la asignación se da para mitigar el costo en caso que llegue a suceder, dependiendo de </w:t>
      </w:r>
      <w:r w:rsidRPr="00283E81">
        <w:rPr>
          <w:rFonts w:ascii="Garamond" w:eastAsia="Garamond" w:hAnsi="Garamond" w:cs="Garamond"/>
          <w:i/>
          <w:iCs/>
          <w:color w:val="000000" w:themeColor="text1"/>
          <w:sz w:val="22"/>
          <w:szCs w:val="22"/>
        </w:rPr>
        <w:t>“(…) las particularidades de cada riesgo, las partes están en la capacidad de establecer los mecanismos de mitigación de su impacto y de su cobertura, así mismo su asignación a los distintos agentes involucrados (…)</w:t>
      </w:r>
      <w:r w:rsidRPr="00283E81">
        <w:rPr>
          <w:rFonts w:ascii="Garamond" w:eastAsia="Garamond" w:hAnsi="Garamond" w:cs="Garamond"/>
          <w:color w:val="000000" w:themeColor="text1"/>
          <w:sz w:val="22"/>
          <w:szCs w:val="22"/>
        </w:rPr>
        <w:t>”.</w:t>
      </w:r>
    </w:p>
    <w:p w14:paraId="32D203EF" w14:textId="27C446F9"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620A5F04" w14:textId="7EAFC80F"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este sentido, se dará aplicación a lo consignado en el Manual para la identificación y cobertura del riesgo en los procesos de contratación M-ICR-01 expedido por Colombia Compra Eficiente, de conformidad con la Matriz </w:t>
      </w:r>
      <w:r w:rsidRPr="00283E81">
        <w:rPr>
          <w:rFonts w:ascii="Garamond" w:eastAsia="Garamond" w:hAnsi="Garamond" w:cs="Garamond"/>
          <w:color w:val="000000" w:themeColor="text1"/>
          <w:sz w:val="22"/>
          <w:szCs w:val="22"/>
        </w:rPr>
        <w:lastRenderedPageBreak/>
        <w:t xml:space="preserve">que establece los riesgos consignados en este estudio previo denominado Matriz </w:t>
      </w:r>
      <w:r w:rsidR="006D4D10" w:rsidRPr="00283E81">
        <w:rPr>
          <w:rFonts w:ascii="Garamond" w:eastAsia="Garamond" w:hAnsi="Garamond" w:cs="Garamond"/>
          <w:color w:val="000000" w:themeColor="text1"/>
          <w:sz w:val="22"/>
          <w:szCs w:val="22"/>
        </w:rPr>
        <w:t>3</w:t>
      </w:r>
      <w:r w:rsidRPr="00283E81">
        <w:rPr>
          <w:rFonts w:ascii="Garamond" w:eastAsia="Garamond" w:hAnsi="Garamond" w:cs="Garamond"/>
          <w:color w:val="000000" w:themeColor="text1"/>
          <w:sz w:val="22"/>
          <w:szCs w:val="22"/>
        </w:rPr>
        <w:t xml:space="preserve"> – Riesgos, documento que forma parte integral del presente proceso de contratación.</w:t>
      </w:r>
    </w:p>
    <w:p w14:paraId="67184117" w14:textId="68F8253C"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7C440939" w14:textId="73816B2F"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Los proponentes deben realizar todas las evaluaciones y estimaciones que sean necesarias para presentar su propuesta sobre la base de un examen cuidadoso de sus características, incluyendo los estudios, diseños, evaluaciones y verificaciones que consideren necesarios para formular la propuesta con base en su propia información, de manera tal que el proponente deberá tener en cuenta el cálculo de los aspectos económicos del proyecto, los cuales deben incluir todas las obligaciones y asunción de riesgos que emanan del contrato.</w:t>
      </w:r>
    </w:p>
    <w:p w14:paraId="279CB608" w14:textId="74323DA8"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22385C3B" w14:textId="40A9E3D8"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Si el proponente que resulte adjudicatario ha evaluado incorrectamente o no ha considerado toda la información que pueda influir en la determinación de los costos, no se eximirá de su responsabilidad por la ejecución completa de las obras de conformidad con el contrato ni le dará derecho a rembolso de costos ni a reclamaciones o reconocimientos adicionales de ninguna naturaleza.</w:t>
      </w:r>
    </w:p>
    <w:p w14:paraId="57F34852" w14:textId="0E43B17B" w:rsidR="00F768D0" w:rsidRPr="00283E81" w:rsidRDefault="00F768D0" w:rsidP="00F768D0">
      <w:pPr>
        <w:pStyle w:val="Standard"/>
        <w:jc w:val="both"/>
        <w:rPr>
          <w:rFonts w:ascii="Garamond" w:hAnsi="Garamond" w:cs="Arial"/>
          <w:sz w:val="22"/>
          <w:szCs w:val="22"/>
        </w:rPr>
      </w:pPr>
    </w:p>
    <w:p w14:paraId="79FFA992" w14:textId="2C7D5781" w:rsidR="0CC143A9" w:rsidRPr="00283E81" w:rsidRDefault="0CC143A9" w:rsidP="0CC143A9">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112B4B16" w14:textId="77777777" w:rsidTr="002F4178">
        <w:trPr>
          <w:jc w:val="center"/>
        </w:trPr>
        <w:tc>
          <w:tcPr>
            <w:tcW w:w="9498" w:type="dxa"/>
            <w:shd w:val="clear" w:color="auto" w:fill="D9D9D9"/>
          </w:tcPr>
          <w:p w14:paraId="2B2A4F27" w14:textId="77777777" w:rsidR="00F768D0" w:rsidRPr="00283E81" w:rsidRDefault="00F768D0" w:rsidP="002F4178">
            <w:pPr>
              <w:pStyle w:val="Standard"/>
              <w:jc w:val="both"/>
              <w:rPr>
                <w:rFonts w:ascii="Garamond" w:hAnsi="Garamond" w:cs="Arial"/>
                <w:b/>
                <w:sz w:val="22"/>
                <w:szCs w:val="22"/>
              </w:rPr>
            </w:pPr>
            <w:bookmarkStart w:id="85" w:name="_Hlk79059153"/>
            <w:r w:rsidRPr="00283E81">
              <w:rPr>
                <w:rFonts w:ascii="Garamond" w:hAnsi="Garamond" w:cs="Arial"/>
                <w:b/>
                <w:sz w:val="22"/>
                <w:szCs w:val="22"/>
              </w:rPr>
              <w:t>7. ANÁLISIS QUE SUSTENTA LA EXIGENCIA DE GARANTÍAS</w:t>
            </w:r>
          </w:p>
        </w:tc>
      </w:tr>
      <w:bookmarkEnd w:id="85"/>
    </w:tbl>
    <w:p w14:paraId="44EC3C25" w14:textId="77777777" w:rsidR="00F768D0" w:rsidRPr="00283E81" w:rsidRDefault="00F768D0" w:rsidP="00F768D0">
      <w:pPr>
        <w:pStyle w:val="Standard"/>
        <w:jc w:val="both"/>
        <w:rPr>
          <w:rFonts w:ascii="Garamond" w:hAnsi="Garamond" w:cs="Arial"/>
          <w:sz w:val="22"/>
          <w:szCs w:val="22"/>
          <w:shd w:val="clear" w:color="auto" w:fill="FFFF00"/>
        </w:rPr>
      </w:pPr>
    </w:p>
    <w:p w14:paraId="29F8A85D"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Proponente debe presentar con la propuesta una Garantía de seriedad de la oferta que cumpla con los parámetros, condiciones y requisitos que se indican en este numeral.</w:t>
      </w:r>
    </w:p>
    <w:p w14:paraId="435FC05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4B61B6A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EA9B6C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Proponente presentará la Garantía de seriedad de la oferta sobre el lote de mayor valor en relación con los cuales allegó oferta.</w:t>
      </w:r>
    </w:p>
    <w:p w14:paraId="4FD4F4E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37C37C29"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Las características de las Garantías son las siguientes:</w:t>
      </w:r>
    </w:p>
    <w:p w14:paraId="617F069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1806"/>
        <w:gridCol w:w="7797"/>
      </w:tblGrid>
      <w:tr w:rsidR="00155AB4" w:rsidRPr="00283E81" w14:paraId="719A161E" w14:textId="77777777" w:rsidTr="00A111D3">
        <w:trPr>
          <w:trHeight w:val="20"/>
          <w:tblHeader/>
          <w:jc w:val="center"/>
        </w:trPr>
        <w:tc>
          <w:tcPr>
            <w:tcW w:w="1806"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612D8714" w14:textId="77777777" w:rsidR="00155AB4" w:rsidRPr="00283E81" w:rsidRDefault="00155AB4" w:rsidP="00A111D3">
            <w:pPr>
              <w:pBdr>
                <w:top w:val="nil"/>
                <w:left w:val="nil"/>
                <w:bottom w:val="nil"/>
                <w:right w:val="nil"/>
                <w:between w:val="nil"/>
              </w:pBdr>
              <w:ind w:right="-26"/>
              <w:jc w:val="both"/>
              <w:rPr>
                <w:rFonts w:ascii="Garamond" w:hAnsi="Garamond"/>
                <w:b/>
                <w:color w:val="FFFFFF" w:themeColor="background1"/>
                <w:sz w:val="22"/>
                <w:szCs w:val="22"/>
              </w:rPr>
            </w:pPr>
            <w:r w:rsidRPr="00283E81">
              <w:rPr>
                <w:rFonts w:ascii="Garamond" w:hAnsi="Garamond"/>
                <w:color w:val="FFFFFF" w:themeColor="background1"/>
                <w:sz w:val="22"/>
                <w:szCs w:val="22"/>
              </w:rPr>
              <w:t>Característica</w:t>
            </w:r>
          </w:p>
        </w:tc>
        <w:tc>
          <w:tcPr>
            <w:tcW w:w="7797"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2AA40680" w14:textId="77777777" w:rsidR="00155AB4" w:rsidRPr="00283E81" w:rsidRDefault="00155AB4" w:rsidP="00A111D3">
            <w:pPr>
              <w:pBdr>
                <w:top w:val="nil"/>
                <w:left w:val="nil"/>
                <w:bottom w:val="nil"/>
                <w:right w:val="nil"/>
                <w:between w:val="nil"/>
              </w:pBdr>
              <w:ind w:right="-26"/>
              <w:jc w:val="both"/>
              <w:rPr>
                <w:rFonts w:ascii="Garamond" w:hAnsi="Garamond"/>
                <w:b/>
                <w:color w:val="FFFFFF" w:themeColor="background1"/>
                <w:sz w:val="22"/>
                <w:szCs w:val="22"/>
              </w:rPr>
            </w:pPr>
            <w:r w:rsidRPr="00283E81">
              <w:rPr>
                <w:rFonts w:ascii="Garamond" w:hAnsi="Garamond"/>
                <w:color w:val="FFFFFF" w:themeColor="background1"/>
                <w:sz w:val="22"/>
                <w:szCs w:val="22"/>
              </w:rPr>
              <w:t>Condición</w:t>
            </w:r>
          </w:p>
        </w:tc>
      </w:tr>
      <w:tr w:rsidR="00155AB4" w:rsidRPr="00283E81" w14:paraId="5C2A8C1C"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F70E3"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A953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Cualquiera de las clases permitidas por el artículo 2.2.1.2.3.1.2 del Decreto 1082 de 2015, a saber: (i) contrato de seguro contenido en una póliza,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patrimonio autónomo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garantía bancaria.</w:t>
            </w:r>
          </w:p>
        </w:tc>
      </w:tr>
      <w:tr w:rsidR="00155AB4" w:rsidRPr="00283E81" w14:paraId="62614453"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4DEC0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 beneficiario</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5C5C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899.999.061</w:t>
            </w:r>
          </w:p>
        </w:tc>
      </w:tr>
      <w:tr w:rsidR="00155AB4" w:rsidRPr="00283E81" w14:paraId="717A10BA"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87069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155C1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 sanción derivada del incumplimiento del ofrecimiento en los eventos señalados en el artículo 2.2.1.2.3.1.6 del Decreto 1082 de 2015.</w:t>
            </w:r>
          </w:p>
        </w:tc>
      </w:tr>
      <w:tr w:rsidR="00155AB4" w:rsidRPr="00283E81" w14:paraId="4B728F57"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E0A8E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Vigencia</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B9C93"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3 meses contados a partir de la fecha de cierre del Proceso de Contratación. </w:t>
            </w:r>
          </w:p>
        </w:tc>
      </w:tr>
      <w:tr w:rsidR="00155AB4" w:rsidRPr="00283E81" w14:paraId="7C35337C"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F1D194"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asegurado</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1CD7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Diez por ciento (10 %) del Presupuesto Oficial del Proceso de Contratación.</w:t>
            </w:r>
          </w:p>
        </w:tc>
      </w:tr>
      <w:tr w:rsidR="00155AB4" w:rsidRPr="00283E81" w14:paraId="14E93962"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051EA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Tomador </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590DB" w14:textId="77777777" w:rsidR="00155AB4" w:rsidRPr="00283E81" w:rsidRDefault="00155AB4" w:rsidP="003400E2">
            <w:pPr>
              <w:numPr>
                <w:ilvl w:val="0"/>
                <w:numId w:val="48"/>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 xml:space="preserve">Para las personas jurídicas: la Garantía deberá tomarse con el nombre o razón social y tipo societario que figura en el certificado de existencia y representación legal expedido por la cámara de comercio respectiva, y no solo con su sigla, a no ser que en el referido documento se exprese que la sociedad podrá denominarse </w:t>
            </w:r>
            <w:r w:rsidRPr="00283E81">
              <w:rPr>
                <w:rFonts w:ascii="Garamond" w:hAnsi="Garamond"/>
                <w:color w:val="000000"/>
                <w:sz w:val="22"/>
                <w:szCs w:val="22"/>
              </w:rPr>
              <w:lastRenderedPageBreak/>
              <w:t>de esa manera.</w:t>
            </w:r>
          </w:p>
          <w:p w14:paraId="5C43177F" w14:textId="77777777" w:rsidR="00155AB4" w:rsidRPr="00283E81" w:rsidRDefault="00155AB4" w:rsidP="003400E2">
            <w:pPr>
              <w:numPr>
                <w:ilvl w:val="0"/>
                <w:numId w:val="48"/>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los Proponentes Plurales: la Garantía deberá ser otorgada por todos los integrantes del Proponente Plural, para lo cual se tendrá que relacionar claramente los integrantes, su identificación y porcentaje de participación. </w:t>
            </w:r>
          </w:p>
        </w:tc>
      </w:tr>
    </w:tbl>
    <w:p w14:paraId="524B1AB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264C246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Si en desarrollo del Proceso de Contratación se modifica el Cronograma, el Proponente deberá ampliar la vigencia de la Garantía de seriedad de la oferta hasta tanto no se hayan perfeccionado y cumplido los requisitos de ejecución del respectivo contrato.</w:t>
      </w:r>
    </w:p>
    <w:p w14:paraId="521DB2C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85F4B16"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5AD074F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0A231540" w14:textId="6637203F"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 GARANTÍAS DEL CONTRATO</w:t>
      </w:r>
    </w:p>
    <w:p w14:paraId="7EF2E79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7ABF75B" w14:textId="17EE932C"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7.1.1 GARANTÍA DE CUMPLIMIENTO</w:t>
      </w:r>
    </w:p>
    <w:p w14:paraId="2B3D340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Para cubrir cualquier hecho constitutivo de incumplimiento, el Contratista deberá presentar la Garantía de cumplimiento en original a la Entidad dentro de los tres (3) días hábiles siguientes contados a partir de la firma del Contrato y requerirá la aprobación de la Entidad. Esta Garantía tendrá las siguientes características:</w:t>
      </w:r>
    </w:p>
    <w:p w14:paraId="6600CAF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1886"/>
        <w:gridCol w:w="7717"/>
      </w:tblGrid>
      <w:tr w:rsidR="00155AB4" w:rsidRPr="00283E81" w14:paraId="35E0BC49" w14:textId="77777777" w:rsidTr="7B655BC0">
        <w:trPr>
          <w:trHeight w:val="20"/>
          <w:tblHeader/>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vAlign w:val="center"/>
          </w:tcPr>
          <w:p w14:paraId="4776BC25"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Característica</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vAlign w:val="center"/>
          </w:tcPr>
          <w:p w14:paraId="311CB88D"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Condición </w:t>
            </w:r>
          </w:p>
        </w:tc>
      </w:tr>
      <w:tr w:rsidR="00155AB4" w:rsidRPr="00283E81" w14:paraId="54069D45"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A405C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47F55A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Cualquiera de las clases permitidas por el artículo 2.2.1.2.3.1.2 del Decreto 1082 de 2015, a saber: (i) Contrato de seguro contenido en una póliza para Entidades Estatales,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patrimonio autónomo,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Garantía bancaria.</w:t>
            </w:r>
          </w:p>
        </w:tc>
      </w:tr>
      <w:tr w:rsidR="00155AB4" w:rsidRPr="00283E81" w14:paraId="58F075DA"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CCC4E9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 beneficiario</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EFA74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899.9999.061</w:t>
            </w:r>
          </w:p>
        </w:tc>
      </w:tr>
      <w:tr w:rsidR="00155AB4" w:rsidRPr="00283E81" w14:paraId="6CFB5224"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BE6151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 vigencia y valores asegurados</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C41EF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bl>
            <w:tblPr>
              <w:tblW w:w="7490" w:type="dxa"/>
              <w:tblLayout w:type="fixed"/>
              <w:tblLook w:val="0400" w:firstRow="0" w:lastRow="0" w:firstColumn="0" w:lastColumn="0" w:noHBand="0" w:noVBand="1"/>
            </w:tblPr>
            <w:tblGrid>
              <w:gridCol w:w="3628"/>
              <w:gridCol w:w="2042"/>
              <w:gridCol w:w="1820"/>
            </w:tblGrid>
            <w:tr w:rsidR="00155AB4" w:rsidRPr="00283E81" w14:paraId="5926AF88"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52E412F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12B85A8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Vigencia </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4575F43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Asegurado</w:t>
                  </w:r>
                </w:p>
              </w:tc>
            </w:tr>
            <w:tr w:rsidR="00155AB4" w:rsidRPr="00283E81" w14:paraId="52BB2AA1"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28CE2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Cumplimiento general del Contrato y el pago de las multas y la cláusula penal pecuniaria que se le impongan</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7A38B1"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Hasta la liquidación del Contrato</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D9572" w14:textId="08C13D1B"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w:t>
                  </w:r>
                  <w:r w:rsidR="00DE57BE" w:rsidRPr="00283E81">
                    <w:rPr>
                      <w:rFonts w:ascii="Garamond" w:hAnsi="Garamond"/>
                      <w:color w:val="000000"/>
                      <w:sz w:val="22"/>
                      <w:szCs w:val="22"/>
                    </w:rPr>
                    <w:t>20</w:t>
                  </w:r>
                  <w:r w:rsidRPr="00283E81">
                    <w:rPr>
                      <w:rFonts w:ascii="Garamond" w:hAnsi="Garamond"/>
                      <w:color w:val="000000"/>
                      <w:sz w:val="22"/>
                      <w:szCs w:val="22"/>
                    </w:rPr>
                    <w:t>%) del valor del contrato</w:t>
                  </w:r>
                </w:p>
              </w:tc>
            </w:tr>
            <w:tr w:rsidR="00155AB4" w:rsidRPr="00283E81" w14:paraId="4C61BC99"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5F31C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Pago de salarios, prestaciones sociales legales e indemnizaciones laborales del personal que el contratista haya de utilizar en el territorio nacional para la ejecución del contrato</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04E66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Plazo del contrato y tres (3) años más.</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089C5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cinco por ciento (5%) del valor del contrato.</w:t>
                  </w:r>
                </w:p>
              </w:tc>
            </w:tr>
            <w:tr w:rsidR="00155AB4" w:rsidRPr="00283E81" w14:paraId="135B06D3"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8D060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Estabilidad y calidad de las obras ejecutadas entregadas a satisfacción</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477E3E" w14:textId="05EE43FF" w:rsidR="00155AB4" w:rsidRPr="00283E81" w:rsidRDefault="00DB280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 años contados a partir del Acta de Recibo Final de </w:t>
                  </w:r>
                  <w:r w:rsidRPr="00283E81">
                    <w:rPr>
                      <w:rFonts w:ascii="Garamond" w:hAnsi="Garamond"/>
                      <w:color w:val="000000"/>
                      <w:sz w:val="22"/>
                      <w:szCs w:val="22"/>
                    </w:rPr>
                    <w:lastRenderedPageBreak/>
                    <w:t xml:space="preserve">Obras </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C2E86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Por el (30%) del valor total del contrato</w:t>
                  </w:r>
                </w:p>
              </w:tc>
            </w:tr>
          </w:tbl>
          <w:p w14:paraId="262177BD"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c>
      </w:tr>
      <w:tr w:rsidR="00155AB4" w:rsidRPr="00283E81" w14:paraId="264B4676"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08B300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Tomador </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6BE6D9B"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027FD730"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No se aceptan Garantías a nombre del representante legal o de alguno de los integrantes del Consorcio o de la Unión Temporal. Cuando el Contratista sea una Unión Temporal o Consorcio, se debe incluir el nombre, el NIT y el porcentaje de participación de cada uno de los integrantes.</w:t>
            </w:r>
          </w:p>
          <w:p w14:paraId="7D6EFF76"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el Contratista conformado por un Proponente Plural (Unión Temporal o Consorcio): la Garantía deberá ser otorgada por todos los integrantes del Contratista, para lo cual se deberá relacionar claramente los integrantes, su identificación y porcentaje de participación, quienes para todos los efectos serán los otorgantes de esta. </w:t>
            </w:r>
          </w:p>
        </w:tc>
      </w:tr>
      <w:tr w:rsidR="00155AB4" w:rsidRPr="00283E81" w14:paraId="2CAED33F"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DAD95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Información necesaria dentro de la póliza</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D0821F"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Número y año del Contrato </w:t>
            </w:r>
          </w:p>
          <w:p w14:paraId="181CBCDA"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2185A5A7"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Firma del representante legal del Contratista</w:t>
            </w:r>
          </w:p>
          <w:p w14:paraId="1F30C2D3"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En caso de no usar centavos, los valores deben aproximarse al mayor Ej. Cumplimiento si el valor a asegurar es $14.980.420,20 aproximar a $14.980.421</w:t>
            </w:r>
          </w:p>
        </w:tc>
      </w:tr>
    </w:tbl>
    <w:p w14:paraId="49EAF36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5877B6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está obligado a restablecer el valor de la Garantía cuando esta se vea reducida por razón de las reclamaciones que efectúe la Entidad, así como, a ampliar las Garantías en los eventos de adición y/o prórroga del Contrato. El no restablecimiento de la Garantía por parte del Contratista o su no adición o prórroga, según el caso, constituye causal de incumplimiento del Contrato y se iniciarán los procesos sancionatorios a que haya lugar.</w:t>
      </w:r>
    </w:p>
    <w:p w14:paraId="4995C382"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17A28B2" w14:textId="6A209342"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7.1.2 ESTABILIDAD DE OBRA Y PERÍODO DE GARANTÍA</w:t>
      </w:r>
    </w:p>
    <w:p w14:paraId="1677FFA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498162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será responsable de la reparación de los defectos que puedan comprobarse con posterioridad al recibo definitivo de las obras del Contrato o si la obra Amenaza Ruina en todo o en parte, por causas derivadas de fabricaciones, replanteos, procesos constructivos, localizaciones y montajes efectuados por él y del empleo de materiales, equipo de construcción y mano de obra deficientes utilizados en la construcción.</w:t>
      </w:r>
    </w:p>
    <w:p w14:paraId="299646CF"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052743F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El Contratista se obliga a llevar a cabo a su costa todas las reparaciones y reemplazos que se ocasionen por estos conceptos. Esta responsabilidad y las obligaciones inherentes a ella se considerarán vigentes por un período de (24) meses por un valor equivalente al treinta por ciento (30%) del valor del contrato contados a partir de la </w:t>
      </w:r>
      <w:r w:rsidRPr="00283E81">
        <w:rPr>
          <w:rFonts w:ascii="Garamond" w:hAnsi="Garamond"/>
          <w:color w:val="000000"/>
          <w:sz w:val="22"/>
          <w:szCs w:val="22"/>
        </w:rPr>
        <w:lastRenderedPageBreak/>
        <w:t>fecha del recibo a satisfacción de la obra, sin perjuicio de lo previsto en el artículo 2060 del Código Civil. El Contratista procederá a reparar los defectos dentro de los términos que la Entidad le señale en la comunicación escrita que le enviará al respecto.</w:t>
      </w:r>
    </w:p>
    <w:p w14:paraId="4E6779F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2BE5EF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Si la inestabilidad de la obra se manifiesta durante la vigencia del amparo de la Garantía respectiva y el Contratista no realiza las reparaciones dentro de los términos señalados, la Entidad podrá hacer efectiva la Garantía de estabilidad estipulada en el Contrato. Si las reparaciones que se hacen afectan, o si a juicio de la Entidad, existe duda razonable de que puedan llegar a afectar el buen funcionamiento o la eficiencia de las obras o parte de ellas, la Entidad podrá exigir la ejecución de nuevas pruebas a cargo del Contratista mediante notificación escrita que le enviará dentro de los treinta (30) días hábiles siguientes a la entrega o terminación de las reparaciones.</w:t>
      </w:r>
    </w:p>
    <w:p w14:paraId="0C4DA44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9A36E4A" w14:textId="63574C67"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7.1.3. GARANTÍA DE RESPONSABILIDAD CIVIL EXTRACONTRACTUAL</w:t>
      </w:r>
    </w:p>
    <w:p w14:paraId="2DCADF7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AEB456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deberá contratar un seguro que ampare la responsabilidad civil extracontractual de la Entidad con las siguientes características:</w:t>
      </w:r>
    </w:p>
    <w:p w14:paraId="0ED329BD"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2080"/>
        <w:gridCol w:w="7523"/>
      </w:tblGrid>
      <w:tr w:rsidR="00155AB4" w:rsidRPr="00283E81" w14:paraId="1FA2105A" w14:textId="77777777" w:rsidTr="00A111D3">
        <w:trPr>
          <w:trHeight w:val="20"/>
          <w:tblHeader/>
          <w:jc w:val="center"/>
        </w:trPr>
        <w:tc>
          <w:tcPr>
            <w:tcW w:w="2080"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55F4E18B"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Característica</w:t>
            </w:r>
          </w:p>
        </w:tc>
        <w:tc>
          <w:tcPr>
            <w:tcW w:w="7523"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2E7D7FF1"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Condición</w:t>
            </w:r>
          </w:p>
        </w:tc>
      </w:tr>
      <w:tr w:rsidR="00155AB4" w:rsidRPr="00283E81" w14:paraId="4F6FE462"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A115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57AC0A"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Contrato de seguro contenido en una póliza </w:t>
            </w:r>
          </w:p>
        </w:tc>
      </w:tr>
      <w:tr w:rsidR="00155AB4" w:rsidRPr="00283E81" w14:paraId="71304750"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995AE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0CE1F"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899.9999.061 y el contratista</w:t>
            </w:r>
          </w:p>
        </w:tc>
      </w:tr>
      <w:tr w:rsidR="00155AB4" w:rsidRPr="00283E81" w14:paraId="145E5FB3"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CAFE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Tomador</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65748F"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4C354F8A"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No se aceptan Garantías a nombre del representante legal o de alguno de los integrantes del Consorcio. Cuando el contratista sea una Unión Temporal o un Consorcio, se debe incluir el nombre, el NIT y el porcentaje de participación de cada uno de los integrantes.</w:t>
            </w:r>
          </w:p>
          <w:p w14:paraId="343946D0"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el Contratista conformado por un Proponente Plural (Unión Temporal o Consorcio), la Garantía deberá ser otorgada por todas las personas que conforman el Proponente Plural, para lo cual se deberá relacionar claramente los integrantes, su identificación y porcentaje de participación. </w:t>
            </w:r>
          </w:p>
        </w:tc>
      </w:tr>
      <w:tr w:rsidR="00155AB4" w:rsidRPr="00283E81" w14:paraId="7F2F2B72"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A0A1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B26A8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 debe ser inferior a:</w:t>
            </w:r>
          </w:p>
          <w:p w14:paraId="14AC8F4A"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    Doscientos (200) SMMLV para contratos cuyo valor sea inferior o igual a mil quinientos (1.500) SMMLV.</w:t>
            </w:r>
          </w:p>
          <w:p w14:paraId="3B01B4B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    Trescientos (300) SMMLV para contratos cuyo valor sea superior a mil quinientos (1.500) SMMLV e inferior o igual a dos mil quinientos (2.500) SMMLV.</w:t>
            </w:r>
          </w:p>
          <w:p w14:paraId="4B7FB2F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3.    Cuatrocientos (400) SMMLV para contratos cuyo valor sea superior a dos mil quinientos (2.500) SMMLV e inferior o igual a cinco mil (5.000) SMMLV.</w:t>
            </w:r>
          </w:p>
          <w:p w14:paraId="7D0194A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4.    Quinientos (500) SMMLV para contratos cuyo valor sea superior a cinco mil (5.000) SMMLV e inferior o igual a diez mil (10.000) SMMLV.</w:t>
            </w:r>
          </w:p>
          <w:p w14:paraId="40B1C714"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5.     El cinco por ciento (5%) del valor del contrato cuando este sea superior a diez mil (10.000) SMMLV, caso en el cual el valor asegurado debe ser máximo setenta y cinco mil (75.000) SMMLV.</w:t>
            </w:r>
          </w:p>
        </w:tc>
      </w:tr>
      <w:tr w:rsidR="00155AB4" w:rsidRPr="00283E81" w14:paraId="6FC5BBFF"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A2A4C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Vigencia</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995E5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Igual al período de ejecución del Contrato.</w:t>
            </w:r>
          </w:p>
        </w:tc>
      </w:tr>
      <w:tr w:rsidR="00155AB4" w:rsidRPr="00283E81" w14:paraId="48BEEDE4"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CA17E8"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Beneficiarios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03D2E8"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Terceros afectados y Fondo de Desarrollo Local de Fontibón - Bogotá D.C, NIT 899.9999.061</w:t>
            </w:r>
          </w:p>
        </w:tc>
      </w:tr>
      <w:tr w:rsidR="00155AB4" w:rsidRPr="00283E81" w14:paraId="5363BD80"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B914F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689C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2AC11BD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Responsabilidad Civil Extracontractual de la Entidad derivada de las actuaciones, hechos u omisiones del Contratista o Subcontratistas. El seguro de responsabilidad civil extracontractual debe contener como mínimo los amparos descritos en el numeral 3 del artículo 2.2.1.2.3.2.9 del Decreto 1082 de 2015.</w:t>
            </w:r>
          </w:p>
          <w:p w14:paraId="4D55106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c>
      </w:tr>
      <w:tr w:rsidR="00155AB4" w:rsidRPr="00283E81" w14:paraId="6DFD7242" w14:textId="77777777" w:rsidTr="00A111D3">
        <w:trPr>
          <w:trHeight w:val="7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9AF2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Información necesaria dentro de la póliza</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1CC07"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Número y año del Contrato </w:t>
            </w:r>
          </w:p>
          <w:p w14:paraId="09AD065B"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4DD9946B"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Firma del representante legal del Contratista</w:t>
            </w:r>
          </w:p>
          <w:p w14:paraId="2F1FB207"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En caso de no usar centavos, los valores deben aproximarse al mayor Ej. Cumplimiento si el valor a asegurar es $14.980.420,20 aproximar a $14.980.421</w:t>
            </w:r>
          </w:p>
        </w:tc>
      </w:tr>
    </w:tbl>
    <w:p w14:paraId="2F15454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E0EFBC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En esta póliza solamente se podrán pactar deducibles con un tope máximo del diez por ciento (10 %) del valor de cada pérdida sin que en ningún caso puedan ser superiores a dos mil (2.000) SMMLV.</w:t>
      </w:r>
    </w:p>
    <w:p w14:paraId="7FDDAC0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61C6A5E"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Este seguro deberá constituirse y presentarse para aprobación de la Entidad dentro del mismo término establecido para la Garantía única de cumplimiento. </w:t>
      </w:r>
    </w:p>
    <w:p w14:paraId="3B29876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33CE3A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Las franquicias, coaseguros obligatorios y demás formas de estipulación que conlleven asunción de parte de la pérdida por la Entidad asegurada no serán admisibles.</w:t>
      </w:r>
    </w:p>
    <w:p w14:paraId="11F7021F"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C19216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deberá anexar el comprobante de pago de la prima del seguro de responsabilidad civil extracontractual.</w:t>
      </w:r>
    </w:p>
    <w:p w14:paraId="7B2414F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3245DED7" w14:textId="4E7ADF68"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7.2 RESTABLECIMIENTO O AMPLIACIÓN DE LA GARANTÍA</w:t>
      </w:r>
    </w:p>
    <w:p w14:paraId="3D82A91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De acuerdo con lo estipulado en el art 2.2.1.2.3.1.18 del Decreto 1082 de 2015 cuando el contratista incumpla su obligación de obtenerla, ampliarla o adicionarla deberá restablecerla a más tardar dentro de los cinco días siguientes al requerimiento efectuado por el Ordenador del Gasto o Competente Contractual. En su defecto, la administración se reserva el derecho de solicitar unilateralmente al garante el restablecimiento de la garantía única establecida, aspecto que deberá ser previamente consignado en el contrato.</w:t>
      </w:r>
    </w:p>
    <w:p w14:paraId="589E6A3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05CBD88" w14:textId="62E6D13E"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7.3 RIESGOS DE LA ETAPA PRECONTRACTUAL</w:t>
      </w:r>
    </w:p>
    <w:p w14:paraId="10DFDB2F"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lastRenderedPageBreak/>
        <w:t>La no suscripción del contrato sin justa causa por parte del proponente seleccionado.</w:t>
      </w:r>
    </w:p>
    <w:p w14:paraId="76E84634"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La no ampliación de la vigencia de la garantía de seriedad de la oferta cuando el término previsto en los pliegos para la adjudicación del contrato se prorrogue o cuando el término previsto para la suscripción del contrato se prorrogue, siempre y cuando esas prórrogas no excedan un término de tres meses.</w:t>
      </w:r>
    </w:p>
    <w:p w14:paraId="47DA3891"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El retiro de la oferta después de vencido el término fijado para la presentación de las propuestas.</w:t>
      </w:r>
    </w:p>
    <w:p w14:paraId="14921E62" w14:textId="6B4CD91E" w:rsidR="00A4531F" w:rsidRPr="00283E81" w:rsidRDefault="00A4531F" w:rsidP="00A4531F">
      <w:pPr>
        <w:pBdr>
          <w:top w:val="nil"/>
          <w:left w:val="nil"/>
          <w:bottom w:val="nil"/>
          <w:right w:val="nil"/>
          <w:between w:val="nil"/>
        </w:pBdr>
        <w:suppressAutoHyphens w:val="0"/>
        <w:autoSpaceDN/>
        <w:spacing w:before="45" w:line="276" w:lineRule="auto"/>
        <w:ind w:left="720" w:right="-26"/>
        <w:jc w:val="both"/>
        <w:textAlignment w:val="auto"/>
        <w:rPr>
          <w:rFonts w:ascii="Garamond" w:hAnsi="Garamond"/>
          <w:color w:val="000000"/>
          <w:sz w:val="22"/>
          <w:szCs w:val="22"/>
        </w:rPr>
      </w:pPr>
    </w:p>
    <w:p w14:paraId="7E323E4B" w14:textId="77777777" w:rsidR="00211861" w:rsidRPr="00283E81" w:rsidRDefault="00211861" w:rsidP="00A4531F">
      <w:pPr>
        <w:pBdr>
          <w:top w:val="nil"/>
          <w:left w:val="nil"/>
          <w:bottom w:val="nil"/>
          <w:right w:val="nil"/>
          <w:between w:val="nil"/>
        </w:pBdr>
        <w:suppressAutoHyphens w:val="0"/>
        <w:autoSpaceDN/>
        <w:spacing w:before="45" w:line="276" w:lineRule="auto"/>
        <w:ind w:left="720" w:right="-26"/>
        <w:jc w:val="both"/>
        <w:textAlignment w:val="auto"/>
        <w:rPr>
          <w:rFonts w:ascii="Garamond" w:hAnsi="Garamond"/>
          <w:color w:val="000000"/>
          <w:sz w:val="22"/>
          <w:szCs w:val="22"/>
        </w:rPr>
      </w:pPr>
    </w:p>
    <w:tbl>
      <w:tblPr>
        <w:tblW w:w="9603" w:type="dxa"/>
        <w:tblLayout w:type="fixed"/>
        <w:tblLook w:val="0400" w:firstRow="0" w:lastRow="0" w:firstColumn="0" w:lastColumn="0" w:noHBand="0" w:noVBand="1"/>
      </w:tblPr>
      <w:tblGrid>
        <w:gridCol w:w="2033"/>
        <w:gridCol w:w="2898"/>
        <w:gridCol w:w="4672"/>
      </w:tblGrid>
      <w:tr w:rsidR="00155AB4" w:rsidRPr="00283E81" w14:paraId="0FD49BE2" w14:textId="77777777" w:rsidTr="00A111D3">
        <w:trPr>
          <w:trHeight w:val="503"/>
        </w:trPr>
        <w:tc>
          <w:tcPr>
            <w:tcW w:w="2033" w:type="dxa"/>
            <w:tcBorders>
              <w:top w:val="single" w:sz="4" w:space="0" w:color="000000"/>
              <w:left w:val="single" w:sz="4" w:space="0" w:color="000000"/>
              <w:bottom w:val="single" w:sz="4" w:space="0" w:color="000000"/>
              <w:right w:val="single" w:sz="6" w:space="0" w:color="000000"/>
            </w:tcBorders>
            <w:shd w:val="clear" w:color="auto" w:fill="F1F1F1"/>
            <w:tcMar>
              <w:top w:w="0" w:type="dxa"/>
              <w:left w:w="115" w:type="dxa"/>
              <w:bottom w:w="0" w:type="dxa"/>
              <w:right w:w="115" w:type="dxa"/>
            </w:tcMar>
          </w:tcPr>
          <w:p w14:paraId="19B9004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GARANTÍA</w:t>
            </w:r>
          </w:p>
        </w:tc>
        <w:tc>
          <w:tcPr>
            <w:tcW w:w="2898" w:type="dxa"/>
            <w:tcBorders>
              <w:top w:val="single" w:sz="4" w:space="0" w:color="000000"/>
              <w:left w:val="single" w:sz="6" w:space="0" w:color="000000"/>
              <w:bottom w:val="single" w:sz="4" w:space="0" w:color="000000"/>
              <w:right w:val="single" w:sz="4" w:space="0" w:color="000000"/>
            </w:tcBorders>
            <w:shd w:val="clear" w:color="auto" w:fill="F1F1F1"/>
            <w:tcMar>
              <w:top w:w="0" w:type="dxa"/>
              <w:left w:w="115" w:type="dxa"/>
              <w:bottom w:w="0" w:type="dxa"/>
              <w:right w:w="115" w:type="dxa"/>
            </w:tcMar>
          </w:tcPr>
          <w:p w14:paraId="694D337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PORCENTAJE DE</w:t>
            </w:r>
          </w:p>
          <w:p w14:paraId="51BCE7A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CUBRIMIENTO</w:t>
            </w:r>
          </w:p>
        </w:tc>
        <w:tc>
          <w:tcPr>
            <w:tcW w:w="4672"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570FAFB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VIGENCIA</w:t>
            </w:r>
          </w:p>
        </w:tc>
      </w:tr>
      <w:tr w:rsidR="00155AB4" w:rsidRPr="00283E81" w14:paraId="295162C0" w14:textId="77777777" w:rsidTr="00A111D3">
        <w:trPr>
          <w:trHeight w:val="1264"/>
        </w:trPr>
        <w:tc>
          <w:tcPr>
            <w:tcW w:w="2033" w:type="dxa"/>
            <w:tcBorders>
              <w:top w:val="single" w:sz="4" w:space="0" w:color="000000"/>
              <w:left w:val="single" w:sz="4" w:space="0" w:color="000000"/>
              <w:bottom w:val="single" w:sz="4" w:space="0" w:color="000000"/>
              <w:right w:val="single" w:sz="6" w:space="0" w:color="000000"/>
            </w:tcBorders>
            <w:tcMar>
              <w:top w:w="0" w:type="dxa"/>
              <w:left w:w="115" w:type="dxa"/>
              <w:bottom w:w="0" w:type="dxa"/>
              <w:right w:w="115" w:type="dxa"/>
            </w:tcMar>
          </w:tcPr>
          <w:p w14:paraId="6A6CDA81"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6D0789E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SERIEDAD</w:t>
            </w:r>
            <w:r w:rsidRPr="00283E81">
              <w:rPr>
                <w:rFonts w:ascii="Garamond" w:hAnsi="Garamond"/>
                <w:b/>
                <w:color w:val="000000"/>
                <w:sz w:val="22"/>
                <w:szCs w:val="22"/>
              </w:rPr>
              <w:tab/>
              <w:t>DE LA OFERTA</w:t>
            </w:r>
          </w:p>
        </w:tc>
        <w:tc>
          <w:tcPr>
            <w:tcW w:w="2898" w:type="dxa"/>
            <w:tcBorders>
              <w:top w:val="single" w:sz="4" w:space="0" w:color="000000"/>
              <w:left w:val="single" w:sz="6" w:space="0" w:color="000000"/>
              <w:bottom w:val="single" w:sz="4" w:space="0" w:color="000000"/>
              <w:right w:val="single" w:sz="4" w:space="0" w:color="000000"/>
            </w:tcBorders>
            <w:tcMar>
              <w:top w:w="0" w:type="dxa"/>
              <w:left w:w="115" w:type="dxa"/>
              <w:bottom w:w="0" w:type="dxa"/>
              <w:right w:w="115" w:type="dxa"/>
            </w:tcMar>
          </w:tcPr>
          <w:p w14:paraId="5542A3EF"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7897DE1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Equivalente al diez por ciento (10%) del valor de la oferta.</w:t>
            </w:r>
          </w:p>
        </w:tc>
        <w:tc>
          <w:tcPr>
            <w:tcW w:w="467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52F0EA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 partir de la fecha de cierre del proceso hasta por noventa (90) días calendario. En cualquier caso, que dicho término sea superior el proponente deberá ampliar la vigencia.</w:t>
            </w:r>
          </w:p>
        </w:tc>
      </w:tr>
    </w:tbl>
    <w:p w14:paraId="6EF226D6" w14:textId="2FD3DED4" w:rsidR="00A4531F" w:rsidRPr="00283E81" w:rsidRDefault="00A4531F" w:rsidP="00F768D0">
      <w:pPr>
        <w:pStyle w:val="Standard"/>
        <w:jc w:val="both"/>
        <w:rPr>
          <w:rFonts w:ascii="Garamond" w:hAnsi="Garamond" w:cs="Arial"/>
          <w:color w:val="FF0000"/>
          <w:sz w:val="22"/>
          <w:szCs w:val="22"/>
          <w:lang w:bidi="hi-IN"/>
        </w:rPr>
      </w:pPr>
    </w:p>
    <w:p w14:paraId="66CAFC79" w14:textId="77777777" w:rsidR="00A4531F" w:rsidRPr="00283E81" w:rsidRDefault="00A4531F" w:rsidP="00F768D0">
      <w:pPr>
        <w:pStyle w:val="Standard"/>
        <w:jc w:val="both"/>
        <w:rPr>
          <w:rFonts w:ascii="Garamond" w:hAnsi="Garamond" w:cs="Arial"/>
          <w:color w:val="FF0000"/>
          <w:sz w:val="22"/>
          <w:szCs w:val="22"/>
          <w:lang w:bidi="hi-IN"/>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7F8FBC4D" w14:textId="77777777" w:rsidTr="002F4178">
        <w:trPr>
          <w:jc w:val="center"/>
        </w:trPr>
        <w:tc>
          <w:tcPr>
            <w:tcW w:w="9498" w:type="dxa"/>
            <w:shd w:val="clear" w:color="auto" w:fill="D9D9D9"/>
          </w:tcPr>
          <w:p w14:paraId="677B4840" w14:textId="77777777" w:rsidR="00F768D0" w:rsidRPr="00283E81" w:rsidRDefault="00F768D0" w:rsidP="002F4178">
            <w:pPr>
              <w:pStyle w:val="Standard"/>
              <w:jc w:val="both"/>
              <w:rPr>
                <w:rFonts w:ascii="Garamond" w:hAnsi="Garamond" w:cs="Arial"/>
                <w:b/>
                <w:sz w:val="22"/>
                <w:szCs w:val="22"/>
              </w:rPr>
            </w:pPr>
            <w:bookmarkStart w:id="86" w:name="_Hlk79059203"/>
            <w:r w:rsidRPr="00283E81">
              <w:rPr>
                <w:rFonts w:ascii="Garamond" w:hAnsi="Garamond" w:cs="Arial"/>
                <w:b/>
                <w:sz w:val="22"/>
                <w:szCs w:val="22"/>
                <w:lang w:val="es-ES"/>
              </w:rPr>
              <w:t>8. INDICACIÓN DE SI LA CONTRATACIÓN ESTA COBIJADA POR UN ACUERDO COMERCIAL.</w:t>
            </w:r>
          </w:p>
        </w:tc>
      </w:tr>
      <w:bookmarkEnd w:id="86"/>
    </w:tbl>
    <w:p w14:paraId="4837DC3E" w14:textId="77777777" w:rsidR="00F768D0" w:rsidRPr="00283E81" w:rsidRDefault="00F768D0" w:rsidP="00F768D0">
      <w:pPr>
        <w:pStyle w:val="Standard"/>
        <w:jc w:val="both"/>
        <w:rPr>
          <w:rFonts w:ascii="Garamond" w:hAnsi="Garamond" w:cs="Arial"/>
          <w:color w:val="FF0000"/>
          <w:sz w:val="22"/>
          <w:szCs w:val="22"/>
          <w:lang w:bidi="hi-IN"/>
        </w:rPr>
      </w:pPr>
    </w:p>
    <w:p w14:paraId="7125558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Valores a partir de los cuales son aplicables los Acuerdos Comerciales</w:t>
      </w:r>
    </w:p>
    <w:p w14:paraId="404F8B84"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273"/>
        <w:gridCol w:w="1119"/>
        <w:gridCol w:w="2676"/>
        <w:gridCol w:w="2039"/>
        <w:gridCol w:w="2496"/>
      </w:tblGrid>
      <w:tr w:rsidR="00A4531F" w:rsidRPr="00283E81" w14:paraId="7FC6F59F" w14:textId="77777777" w:rsidTr="00A111D3">
        <w:trPr>
          <w:trHeight w:val="756"/>
        </w:trPr>
        <w:tc>
          <w:tcPr>
            <w:tcW w:w="2392" w:type="dxa"/>
            <w:gridSpan w:val="2"/>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46A80E8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8417C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67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43643DF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 NIVEL MUNICIPAL Y</w:t>
            </w:r>
          </w:p>
          <w:p w14:paraId="77A9061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DEPARTAMENTAL</w:t>
            </w:r>
          </w:p>
        </w:tc>
        <w:tc>
          <w:tcPr>
            <w:tcW w:w="2039"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2A5B7B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2999FD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 DEL NIVEL NACIONAL</w:t>
            </w:r>
          </w:p>
        </w:tc>
        <w:tc>
          <w:tcPr>
            <w:tcW w:w="249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2A95E64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3AF1BB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 DEL NIVEL NACIONAL</w:t>
            </w:r>
          </w:p>
        </w:tc>
      </w:tr>
      <w:tr w:rsidR="00A4531F" w:rsidRPr="00283E81" w14:paraId="5B35B0E5" w14:textId="77777777" w:rsidTr="00A111D3">
        <w:trPr>
          <w:trHeight w:val="1237"/>
        </w:trPr>
        <w:tc>
          <w:tcPr>
            <w:tcW w:w="1273"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C9D32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p>
          <w:p w14:paraId="6FB6DC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Alianza Pacífico</w:t>
            </w: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9104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933419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2676"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686C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714E71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57F163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$655’366.000 </w:t>
            </w:r>
            <w:r w:rsidRPr="00283E81">
              <w:rPr>
                <w:rFonts w:ascii="Garamond" w:hAnsi="Garamond"/>
                <w:b/>
                <w:color w:val="000000"/>
                <w:sz w:val="22"/>
                <w:szCs w:val="22"/>
              </w:rPr>
              <w:t>COP</w:t>
            </w:r>
          </w:p>
          <w:p w14:paraId="6295176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0CAFC35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DE633F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64E7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210B050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$163’842.000 </w:t>
            </w:r>
            <w:r w:rsidRPr="00283E81">
              <w:rPr>
                <w:rFonts w:ascii="Garamond" w:hAnsi="Garamond"/>
                <w:b/>
                <w:color w:val="000000"/>
                <w:sz w:val="22"/>
                <w:szCs w:val="22"/>
              </w:rPr>
              <w:t>COP</w:t>
            </w:r>
          </w:p>
          <w:p w14:paraId="3ECD18B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5D39F4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135D32C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496"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7257E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2A3480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p>
          <w:p w14:paraId="3D0F325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servicios$720’903.000</w:t>
            </w:r>
          </w:p>
          <w:p w14:paraId="0B0B593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p w14:paraId="4D69BD5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C9174D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233C4BD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r>
      <w:tr w:rsidR="00A4531F" w:rsidRPr="00283E81" w14:paraId="3DA36475" w14:textId="77777777" w:rsidTr="00A111D3">
        <w:trPr>
          <w:trHeight w:val="1235"/>
        </w:trPr>
        <w:tc>
          <w:tcPr>
            <w:tcW w:w="1273"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D039D4"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473E6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832AF3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Perú</w:t>
            </w:r>
          </w:p>
        </w:tc>
        <w:tc>
          <w:tcPr>
            <w:tcW w:w="2676"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78C617"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545C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67C461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$311’299.000 </w:t>
            </w:r>
            <w:r w:rsidRPr="00283E81">
              <w:rPr>
                <w:rFonts w:ascii="Garamond" w:hAnsi="Garamond"/>
                <w:b/>
                <w:color w:val="000000"/>
                <w:sz w:val="22"/>
                <w:szCs w:val="22"/>
              </w:rPr>
              <w:t>COP</w:t>
            </w:r>
          </w:p>
          <w:p w14:paraId="089A6B4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271150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5E4013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496"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433DB6"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6743D586" w14:textId="77777777" w:rsidTr="00A111D3">
        <w:trPr>
          <w:trHeight w:val="1238"/>
        </w:trPr>
        <w:tc>
          <w:tcPr>
            <w:tcW w:w="1273"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51A137"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A2841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3B30AC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B2322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D3A56A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1A70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7B5E7F3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$163’842.000 </w:t>
            </w:r>
            <w:r w:rsidRPr="00283E81">
              <w:rPr>
                <w:rFonts w:ascii="Garamond" w:hAnsi="Garamond"/>
                <w:b/>
                <w:color w:val="000000"/>
                <w:sz w:val="22"/>
                <w:szCs w:val="22"/>
              </w:rPr>
              <w:t>COP</w:t>
            </w:r>
          </w:p>
          <w:p w14:paraId="73432E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735CF1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F9FCFA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$10’335.931 </w:t>
            </w:r>
            <w:r w:rsidRPr="00283E81">
              <w:rPr>
                <w:rFonts w:ascii="Garamond" w:hAnsi="Garamond"/>
                <w:b/>
                <w:color w:val="000000"/>
                <w:sz w:val="22"/>
                <w:szCs w:val="22"/>
              </w:rPr>
              <w:t>USD</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ED5A4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6CAD739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$397,535 </w:t>
            </w:r>
            <w:r w:rsidRPr="00283E81">
              <w:rPr>
                <w:rFonts w:ascii="Garamond" w:hAnsi="Garamond"/>
                <w:b/>
                <w:color w:val="000000"/>
                <w:sz w:val="22"/>
                <w:szCs w:val="22"/>
              </w:rPr>
              <w:t>USD</w:t>
            </w:r>
          </w:p>
          <w:p w14:paraId="5538563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D50B7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CAEC1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$12’721.740 </w:t>
            </w:r>
            <w:r w:rsidRPr="00283E81">
              <w:rPr>
                <w:rFonts w:ascii="Garamond" w:hAnsi="Garamond"/>
                <w:b/>
                <w:color w:val="000000"/>
                <w:sz w:val="22"/>
                <w:szCs w:val="22"/>
              </w:rPr>
              <w:t>USD</w:t>
            </w:r>
          </w:p>
        </w:tc>
      </w:tr>
      <w:tr w:rsidR="00A4531F" w:rsidRPr="00283E81" w14:paraId="3F753DF3" w14:textId="77777777" w:rsidTr="00A111D3">
        <w:trPr>
          <w:trHeight w:val="1237"/>
        </w:trPr>
        <w:tc>
          <w:tcPr>
            <w:tcW w:w="239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63625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FBFF28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Canadá</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C7FFD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0AF541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39E6E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655BD8A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$172'701.000 </w:t>
            </w:r>
            <w:r w:rsidRPr="00283E81">
              <w:rPr>
                <w:rFonts w:ascii="Garamond" w:hAnsi="Garamond"/>
                <w:b/>
                <w:color w:val="000000"/>
                <w:sz w:val="22"/>
                <w:szCs w:val="22"/>
              </w:rPr>
              <w:t>COP</w:t>
            </w:r>
          </w:p>
          <w:p w14:paraId="0F93430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1F7E4A0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AEA4E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CB9BF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32A6BE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$863'512.000 </w:t>
            </w:r>
            <w:r w:rsidRPr="00283E81">
              <w:rPr>
                <w:rFonts w:ascii="Garamond" w:hAnsi="Garamond"/>
                <w:b/>
                <w:color w:val="000000"/>
                <w:sz w:val="22"/>
                <w:szCs w:val="22"/>
              </w:rPr>
              <w:t>COP</w:t>
            </w:r>
          </w:p>
          <w:p w14:paraId="7D7B5B3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0066E0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05C3B14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$27.633'724.000 </w:t>
            </w:r>
            <w:r w:rsidRPr="00283E81">
              <w:rPr>
                <w:rFonts w:ascii="Garamond" w:hAnsi="Garamond"/>
                <w:b/>
                <w:color w:val="000000"/>
                <w:sz w:val="22"/>
                <w:szCs w:val="22"/>
              </w:rPr>
              <w:t>COP</w:t>
            </w:r>
          </w:p>
        </w:tc>
      </w:tr>
      <w:tr w:rsidR="00A4531F" w:rsidRPr="00283E81" w14:paraId="1279ADB2" w14:textId="77777777" w:rsidTr="00A111D3">
        <w:trPr>
          <w:trHeight w:val="1238"/>
        </w:trPr>
        <w:tc>
          <w:tcPr>
            <w:tcW w:w="239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D661D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2E75330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Chile</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3361E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0B404E1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$643'264.000 </w:t>
            </w:r>
            <w:r w:rsidRPr="00283E81">
              <w:rPr>
                <w:rFonts w:ascii="Garamond" w:hAnsi="Garamond"/>
                <w:b/>
                <w:color w:val="000000"/>
                <w:sz w:val="22"/>
                <w:szCs w:val="22"/>
              </w:rPr>
              <w:t>COP</w:t>
            </w:r>
          </w:p>
          <w:p w14:paraId="3CFF7F8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30CCFF7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372524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CA340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4F3B7F2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$160'816.000 </w:t>
            </w:r>
            <w:r w:rsidRPr="00283E81">
              <w:rPr>
                <w:rFonts w:ascii="Garamond" w:hAnsi="Garamond"/>
                <w:b/>
                <w:color w:val="000000"/>
                <w:sz w:val="22"/>
                <w:szCs w:val="22"/>
              </w:rPr>
              <w:t>COP</w:t>
            </w:r>
          </w:p>
          <w:p w14:paraId="388B0B3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4939E7F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D85B8C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0EFC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FE9EE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$707'590.000 </w:t>
            </w:r>
            <w:r w:rsidRPr="00283E81">
              <w:rPr>
                <w:rFonts w:ascii="Garamond" w:hAnsi="Garamond"/>
                <w:b/>
                <w:color w:val="000000"/>
                <w:sz w:val="22"/>
                <w:szCs w:val="22"/>
              </w:rPr>
              <w:t>COP</w:t>
            </w:r>
          </w:p>
          <w:p w14:paraId="0C81A08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3F7F4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3A7AC23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r>
    </w:tbl>
    <w:p w14:paraId="610946D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999"/>
        <w:gridCol w:w="2984"/>
        <w:gridCol w:w="2190"/>
        <w:gridCol w:w="2430"/>
      </w:tblGrid>
      <w:tr w:rsidR="00A4531F" w:rsidRPr="00283E81" w14:paraId="679B306F" w14:textId="77777777" w:rsidTr="00A111D3">
        <w:trPr>
          <w:trHeight w:val="696"/>
        </w:trPr>
        <w:tc>
          <w:tcPr>
            <w:tcW w:w="1999"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3BEFF4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F73B02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984"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1438CE6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 NIVEL MUNICIPAL Y</w:t>
            </w:r>
          </w:p>
          <w:p w14:paraId="625365B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DEPARTAMENTAL</w:t>
            </w:r>
          </w:p>
        </w:tc>
        <w:tc>
          <w:tcPr>
            <w:tcW w:w="2190"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3470FF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 DE NIVEL</w:t>
            </w:r>
          </w:p>
          <w:p w14:paraId="6DF6A2E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NACIONAL</w:t>
            </w:r>
          </w:p>
        </w:tc>
        <w:tc>
          <w:tcPr>
            <w:tcW w:w="2430"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29D4E67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 DEL    NIVEL NACIONAL</w:t>
            </w:r>
          </w:p>
        </w:tc>
      </w:tr>
      <w:tr w:rsidR="00A4531F" w:rsidRPr="00283E81" w14:paraId="7B496851" w14:textId="77777777" w:rsidTr="00A111D3">
        <w:trPr>
          <w:trHeight w:val="990"/>
        </w:trPr>
        <w:tc>
          <w:tcPr>
            <w:tcW w:w="19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9E092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4D246E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Corea</w:t>
            </w:r>
          </w:p>
        </w:tc>
        <w:tc>
          <w:tcPr>
            <w:tcW w:w="29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F60F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7BEE6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$655’366.000 </w:t>
            </w:r>
            <w:r w:rsidRPr="00283E81">
              <w:rPr>
                <w:rFonts w:ascii="Garamond" w:hAnsi="Garamond"/>
                <w:b/>
                <w:color w:val="000000"/>
                <w:sz w:val="22"/>
                <w:szCs w:val="22"/>
              </w:rPr>
              <w:t>COP</w:t>
            </w:r>
          </w:p>
          <w:p w14:paraId="31AC96C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52194A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$49.152’459.000 </w:t>
            </w:r>
            <w:r w:rsidRPr="00283E81">
              <w:rPr>
                <w:rFonts w:ascii="Garamond" w:hAnsi="Garamond"/>
                <w:b/>
                <w:color w:val="000000"/>
                <w:sz w:val="22"/>
                <w:szCs w:val="22"/>
              </w:rPr>
              <w:t>COP</w:t>
            </w:r>
          </w:p>
        </w:tc>
        <w:tc>
          <w:tcPr>
            <w:tcW w:w="2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51B42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D77EC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$229’378.000 </w:t>
            </w:r>
            <w:r w:rsidRPr="00283E81">
              <w:rPr>
                <w:rFonts w:ascii="Garamond" w:hAnsi="Garamond"/>
                <w:b/>
                <w:color w:val="000000"/>
                <w:sz w:val="22"/>
                <w:szCs w:val="22"/>
              </w:rPr>
              <w:t>COP</w:t>
            </w:r>
          </w:p>
          <w:p w14:paraId="3CA91E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tc>
        <w:tc>
          <w:tcPr>
            <w:tcW w:w="24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07B12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52493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$1.310’732.000</w:t>
            </w:r>
          </w:p>
          <w:p w14:paraId="0739213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p w14:paraId="35BBA8D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tc>
      </w:tr>
    </w:tbl>
    <w:p w14:paraId="4A33E350"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448"/>
        <w:gridCol w:w="1413"/>
        <w:gridCol w:w="2642"/>
        <w:gridCol w:w="2006"/>
        <w:gridCol w:w="2094"/>
      </w:tblGrid>
      <w:tr w:rsidR="00A4531F" w:rsidRPr="00283E81" w14:paraId="41332932" w14:textId="77777777" w:rsidTr="00A111D3">
        <w:trPr>
          <w:trHeight w:val="990"/>
        </w:trPr>
        <w:tc>
          <w:tcPr>
            <w:tcW w:w="2861" w:type="dxa"/>
            <w:gridSpan w:val="2"/>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43A43F8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F25816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642"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2CE2D73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w:t>
            </w:r>
          </w:p>
          <w:p w14:paraId="1568122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NIVEL MUNICIPAL Y DEPARTAMENTAL</w:t>
            </w:r>
          </w:p>
        </w:tc>
        <w:tc>
          <w:tcPr>
            <w:tcW w:w="200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548E52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w:t>
            </w:r>
          </w:p>
          <w:p w14:paraId="72FD89D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DEL</w:t>
            </w:r>
            <w:r w:rsidRPr="00283E81">
              <w:rPr>
                <w:rFonts w:ascii="Garamond" w:hAnsi="Garamond"/>
                <w:b/>
                <w:color w:val="000000"/>
                <w:sz w:val="22"/>
                <w:szCs w:val="22"/>
              </w:rPr>
              <w:tab/>
              <w:t>NIVEL NACIONAL</w:t>
            </w:r>
          </w:p>
        </w:tc>
        <w:tc>
          <w:tcPr>
            <w:tcW w:w="2094"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039D362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w:t>
            </w:r>
            <w:r w:rsidRPr="00283E81">
              <w:rPr>
                <w:rFonts w:ascii="Garamond" w:hAnsi="Garamond"/>
                <w:b/>
                <w:color w:val="000000"/>
                <w:sz w:val="22"/>
                <w:szCs w:val="22"/>
              </w:rPr>
              <w:tab/>
              <w:t>DEL NIVEL NACIONAL</w:t>
            </w:r>
          </w:p>
        </w:tc>
      </w:tr>
      <w:tr w:rsidR="00A4531F" w:rsidRPr="00283E81" w14:paraId="5B5720BA" w14:textId="77777777" w:rsidTr="00A111D3">
        <w:trPr>
          <w:trHeight w:val="492"/>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C03163" w14:textId="77777777" w:rsidR="00A4531F" w:rsidRPr="00283E81" w:rsidRDefault="00A4531F" w:rsidP="00A111D3">
            <w:pPr>
              <w:pBdr>
                <w:top w:val="nil"/>
                <w:left w:val="nil"/>
                <w:bottom w:val="nil"/>
                <w:right w:val="nil"/>
                <w:between w:val="nil"/>
              </w:pBdr>
              <w:ind w:right="-26"/>
              <w:jc w:val="both"/>
              <w:rPr>
                <w:rFonts w:ascii="Garamond" w:hAnsi="Garamond"/>
                <w:color w:val="000000" w:themeColor="text1"/>
                <w:sz w:val="22"/>
                <w:szCs w:val="22"/>
              </w:rPr>
            </w:pP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33951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EB129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$16.384’153.000</w:t>
            </w:r>
          </w:p>
          <w:p w14:paraId="4835A53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0F34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$49.152’459.000 </w:t>
            </w:r>
            <w:r w:rsidRPr="00283E81">
              <w:rPr>
                <w:rFonts w:ascii="Garamond" w:hAnsi="Garamond"/>
                <w:b/>
                <w:color w:val="000000"/>
                <w:sz w:val="22"/>
                <w:szCs w:val="22"/>
              </w:rPr>
              <w:t>COP</w:t>
            </w:r>
          </w:p>
        </w:tc>
      </w:tr>
      <w:tr w:rsidR="00A4531F" w:rsidRPr="00283E81" w14:paraId="0BA65E65"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8F71D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20EF8A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Estados AELC</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661DA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F8D24D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4CAAE9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$852’074.000 </w:t>
            </w:r>
            <w:r w:rsidRPr="00283E81">
              <w:rPr>
                <w:rFonts w:ascii="Garamond" w:hAnsi="Garamond"/>
                <w:b/>
                <w:color w:val="000000"/>
                <w:sz w:val="22"/>
                <w:szCs w:val="22"/>
              </w:rPr>
              <w:t>COP</w:t>
            </w:r>
          </w:p>
          <w:p w14:paraId="0E9874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09BE160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60F65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0ED67C7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$553’848.000 </w:t>
            </w:r>
            <w:r w:rsidRPr="00283E81">
              <w:rPr>
                <w:rFonts w:ascii="Garamond" w:hAnsi="Garamond"/>
                <w:b/>
                <w:color w:val="000000"/>
                <w:sz w:val="22"/>
                <w:szCs w:val="22"/>
              </w:rPr>
              <w:t>COP</w:t>
            </w:r>
          </w:p>
          <w:p w14:paraId="557178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7D18A6D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$21.301’857.000</w:t>
            </w:r>
          </w:p>
          <w:p w14:paraId="35C4ED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E1DDC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A050A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4E6C203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$937’282.000 </w:t>
            </w:r>
            <w:r w:rsidRPr="00283E81">
              <w:rPr>
                <w:rFonts w:ascii="Garamond" w:hAnsi="Garamond"/>
                <w:b/>
                <w:color w:val="000000"/>
                <w:sz w:val="22"/>
                <w:szCs w:val="22"/>
              </w:rPr>
              <w:t>COP</w:t>
            </w:r>
          </w:p>
          <w:p w14:paraId="251C332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5E209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r>
      <w:tr w:rsidR="00A4531F" w:rsidRPr="00283E81" w14:paraId="016F2030"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800B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349F4A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Estados Unidos y Costa Rica</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73B7F1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0884A3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0793C8D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$1.162'733.000 </w:t>
            </w:r>
            <w:r w:rsidRPr="00283E81">
              <w:rPr>
                <w:rFonts w:ascii="Garamond" w:hAnsi="Garamond"/>
                <w:b/>
                <w:color w:val="000000"/>
                <w:sz w:val="22"/>
                <w:szCs w:val="22"/>
              </w:rPr>
              <w:t>COP</w:t>
            </w:r>
          </w:p>
          <w:p w14:paraId="4B8BD38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E3F43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$16.389'628.000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1784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roofErr w:type="spellStart"/>
            <w:r w:rsidRPr="00283E81">
              <w:rPr>
                <w:rFonts w:ascii="Garamond" w:hAnsi="Garamond"/>
                <w:color w:val="000000"/>
                <w:sz w:val="22"/>
                <w:szCs w:val="22"/>
              </w:rPr>
              <w:t>Bienesy</w:t>
            </w:r>
            <w:proofErr w:type="spellEnd"/>
            <w:r w:rsidRPr="00283E81">
              <w:rPr>
                <w:rFonts w:ascii="Garamond" w:hAnsi="Garamond"/>
                <w:color w:val="000000"/>
                <w:sz w:val="22"/>
                <w:szCs w:val="22"/>
              </w:rPr>
              <w:t xml:space="preserve"> servicios</w:t>
            </w:r>
          </w:p>
          <w:p w14:paraId="5D3A7B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$172'701.000 </w:t>
            </w:r>
            <w:r w:rsidRPr="00283E81">
              <w:rPr>
                <w:rFonts w:ascii="Garamond" w:hAnsi="Garamond"/>
                <w:b/>
                <w:color w:val="000000"/>
                <w:sz w:val="22"/>
                <w:szCs w:val="22"/>
              </w:rPr>
              <w:t>COP</w:t>
            </w:r>
          </w:p>
          <w:p w14:paraId="27B2D3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127253D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$16.389'628.000</w:t>
            </w:r>
          </w:p>
          <w:p w14:paraId="4707A9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03AB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3C708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059B994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$556'864.000 </w:t>
            </w:r>
            <w:r w:rsidRPr="00283E81">
              <w:rPr>
                <w:rFonts w:ascii="Garamond" w:hAnsi="Garamond"/>
                <w:b/>
                <w:color w:val="000000"/>
                <w:sz w:val="22"/>
                <w:szCs w:val="22"/>
              </w:rPr>
              <w:t>COP</w:t>
            </w:r>
          </w:p>
          <w:p w14:paraId="3D54753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6C22785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$16.389'628.000 </w:t>
            </w:r>
            <w:r w:rsidRPr="00283E81">
              <w:rPr>
                <w:rFonts w:ascii="Garamond" w:hAnsi="Garamond"/>
                <w:b/>
                <w:color w:val="000000"/>
                <w:sz w:val="22"/>
                <w:szCs w:val="22"/>
              </w:rPr>
              <w:t>COP</w:t>
            </w:r>
          </w:p>
        </w:tc>
      </w:tr>
      <w:tr w:rsidR="00A4531F" w:rsidRPr="00283E81" w14:paraId="4EEB1F00" w14:textId="77777777" w:rsidTr="00A111D3">
        <w:trPr>
          <w:trHeight w:val="1238"/>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3273A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D8CB46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México</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F2934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A07D1C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0846E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6D94734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$78.920 </w:t>
            </w:r>
            <w:r w:rsidRPr="00283E81">
              <w:rPr>
                <w:rFonts w:ascii="Garamond" w:hAnsi="Garamond"/>
                <w:b/>
                <w:color w:val="000000"/>
                <w:sz w:val="22"/>
                <w:szCs w:val="22"/>
              </w:rPr>
              <w:t>USD</w:t>
            </w:r>
          </w:p>
          <w:p w14:paraId="7316DA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4ED3236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$10’259.653 </w:t>
            </w:r>
            <w:r w:rsidRPr="00283E81">
              <w:rPr>
                <w:rFonts w:ascii="Garamond" w:hAnsi="Garamond"/>
                <w:b/>
                <w:color w:val="000000"/>
                <w:sz w:val="22"/>
                <w:szCs w:val="22"/>
              </w:rPr>
              <w:t>USD</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0252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151F27E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$394.602 </w:t>
            </w:r>
            <w:r w:rsidRPr="00283E81">
              <w:rPr>
                <w:rFonts w:ascii="Garamond" w:hAnsi="Garamond"/>
                <w:b/>
                <w:color w:val="000000"/>
                <w:sz w:val="22"/>
                <w:szCs w:val="22"/>
              </w:rPr>
              <w:t>USD</w:t>
            </w:r>
          </w:p>
          <w:p w14:paraId="674AD2D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3C882B1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$12’627.266 </w:t>
            </w:r>
            <w:r w:rsidRPr="00283E81">
              <w:rPr>
                <w:rFonts w:ascii="Garamond" w:hAnsi="Garamond"/>
                <w:b/>
                <w:color w:val="000000"/>
                <w:sz w:val="22"/>
                <w:szCs w:val="22"/>
              </w:rPr>
              <w:t>USD</w:t>
            </w:r>
          </w:p>
        </w:tc>
      </w:tr>
      <w:tr w:rsidR="00A4531F" w:rsidRPr="00283E81" w14:paraId="0B990DF5" w14:textId="77777777" w:rsidTr="00A111D3">
        <w:trPr>
          <w:trHeight w:val="246"/>
        </w:trPr>
        <w:tc>
          <w:tcPr>
            <w:tcW w:w="144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111B9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Triángulo Norte</w:t>
            </w: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5B57F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Salvador</w:t>
            </w:r>
          </w:p>
        </w:tc>
        <w:tc>
          <w:tcPr>
            <w:tcW w:w="6742" w:type="dxa"/>
            <w:gridSpan w:val="3"/>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4AE4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72E705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de la menor cuantía de la Entidad</w:t>
            </w:r>
          </w:p>
        </w:tc>
      </w:tr>
      <w:tr w:rsidR="00A4531F" w:rsidRPr="00283E81" w14:paraId="27B70D14" w14:textId="77777777" w:rsidTr="00A111D3">
        <w:trPr>
          <w:trHeight w:val="249"/>
        </w:trPr>
        <w:tc>
          <w:tcPr>
            <w:tcW w:w="144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B91AA4"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3FC6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Guatemala</w:t>
            </w:r>
          </w:p>
        </w:tc>
        <w:tc>
          <w:tcPr>
            <w:tcW w:w="6742" w:type="dxa"/>
            <w:gridSpan w:val="3"/>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B3685A"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1F595692" w14:textId="77777777" w:rsidTr="00A111D3">
        <w:trPr>
          <w:trHeight w:val="246"/>
        </w:trPr>
        <w:tc>
          <w:tcPr>
            <w:tcW w:w="144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7D7D93"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474AE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Honduras</w:t>
            </w:r>
          </w:p>
        </w:tc>
        <w:tc>
          <w:tcPr>
            <w:tcW w:w="6742" w:type="dxa"/>
            <w:gridSpan w:val="3"/>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11DD08"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40A74E8E"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5AF0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8CE6F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Unión Europea</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9D929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20C69B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613F7A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$859’752.000 </w:t>
            </w:r>
            <w:r w:rsidRPr="00283E81">
              <w:rPr>
                <w:rFonts w:ascii="Garamond" w:hAnsi="Garamond"/>
                <w:b/>
                <w:color w:val="000000"/>
                <w:sz w:val="22"/>
                <w:szCs w:val="22"/>
              </w:rPr>
              <w:t>COP</w:t>
            </w:r>
          </w:p>
          <w:p w14:paraId="5B56F0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31590D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$21.493’810.000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68B5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 servicios</w:t>
            </w:r>
          </w:p>
          <w:p w14:paraId="0C11926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$558’839.000 </w:t>
            </w:r>
            <w:r w:rsidRPr="00283E81">
              <w:rPr>
                <w:rFonts w:ascii="Garamond" w:hAnsi="Garamond"/>
                <w:b/>
                <w:color w:val="000000"/>
                <w:sz w:val="22"/>
                <w:szCs w:val="22"/>
              </w:rPr>
              <w:t>COP</w:t>
            </w:r>
          </w:p>
          <w:p w14:paraId="192ADC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1C5AEFB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$21.493’810.000</w:t>
            </w:r>
          </w:p>
          <w:p w14:paraId="67AB6D6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905F5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BA711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35A4DB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$859’752.000 </w:t>
            </w:r>
            <w:r w:rsidRPr="00283E81">
              <w:rPr>
                <w:rFonts w:ascii="Garamond" w:hAnsi="Garamond"/>
                <w:b/>
                <w:color w:val="000000"/>
                <w:sz w:val="22"/>
                <w:szCs w:val="22"/>
              </w:rPr>
              <w:t>COP</w:t>
            </w:r>
          </w:p>
          <w:p w14:paraId="2A63E4A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5547DAF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$21.493’810.000 </w:t>
            </w:r>
            <w:r w:rsidRPr="00283E81">
              <w:rPr>
                <w:rFonts w:ascii="Garamond" w:hAnsi="Garamond"/>
                <w:b/>
                <w:color w:val="000000"/>
                <w:sz w:val="22"/>
                <w:szCs w:val="22"/>
              </w:rPr>
              <w:t>COP</w:t>
            </w:r>
          </w:p>
        </w:tc>
      </w:tr>
    </w:tbl>
    <w:p w14:paraId="6D7D72D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00AC0A2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Por lo anterior, Consultado el Manual Para el Manejo de Acuerdos Comerciales en los Procesos de Contratación Versión M-MACPC-12, expedido por Colombia Compra Eficiente, el servicio objeto de la presente contratación NO se encuentra cubierto por los Acuerdos Comerciales.</w:t>
      </w:r>
    </w:p>
    <w:p w14:paraId="6656A660"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30C40404"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B1E9775"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56A42BDD"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1D02DAC2"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34F91B3F"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28FB69C"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1F0AE067"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8299F31"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30E8F33"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49A66FB"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526D663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0BC98DF1"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4E571903"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154"/>
        <w:gridCol w:w="985"/>
        <w:gridCol w:w="1410"/>
        <w:gridCol w:w="2018"/>
        <w:gridCol w:w="2018"/>
        <w:gridCol w:w="2018"/>
      </w:tblGrid>
      <w:tr w:rsidR="00A4531F" w:rsidRPr="00283E81" w14:paraId="311482B5" w14:textId="77777777" w:rsidTr="00A111D3">
        <w:trPr>
          <w:trHeight w:val="1438"/>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67665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FCE518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198E5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47771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 ESTATAL INCLUIDA</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3A10A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PRESUPUESTO DEL</w:t>
            </w:r>
            <w:r w:rsidRPr="00283E81">
              <w:rPr>
                <w:rFonts w:ascii="Garamond" w:hAnsi="Garamond"/>
                <w:b/>
                <w:color w:val="000000"/>
                <w:sz w:val="22"/>
                <w:szCs w:val="22"/>
              </w:rPr>
              <w:tab/>
              <w:t>PROCESO DE CONTRATACIÓN SUPERIOR</w:t>
            </w:r>
            <w:r w:rsidRPr="00283E81">
              <w:rPr>
                <w:rFonts w:ascii="Garamond" w:hAnsi="Garamond"/>
                <w:b/>
                <w:color w:val="000000"/>
                <w:sz w:val="22"/>
                <w:szCs w:val="22"/>
              </w:rPr>
              <w:tab/>
              <w:t>AL</w:t>
            </w:r>
          </w:p>
          <w:p w14:paraId="7F9E220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VALOR</w:t>
            </w:r>
            <w:r w:rsidRPr="00283E81">
              <w:rPr>
                <w:rFonts w:ascii="Garamond" w:hAnsi="Garamond"/>
                <w:b/>
                <w:color w:val="000000"/>
                <w:sz w:val="22"/>
                <w:szCs w:val="22"/>
              </w:rPr>
              <w:tab/>
              <w:t>DEL ACUERDO COMERCIAL</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8C18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49A6C56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EXCEPCIÓN APLICABLE</w:t>
            </w:r>
            <w:r w:rsidRPr="00283E81">
              <w:rPr>
                <w:rFonts w:ascii="Garamond" w:hAnsi="Garamond"/>
                <w:b/>
                <w:color w:val="000000"/>
                <w:sz w:val="22"/>
                <w:szCs w:val="22"/>
              </w:rPr>
              <w:tab/>
            </w:r>
            <w:r w:rsidRPr="00283E81">
              <w:rPr>
                <w:rFonts w:ascii="Garamond" w:hAnsi="Garamond"/>
                <w:b/>
                <w:color w:val="000000"/>
                <w:sz w:val="22"/>
                <w:szCs w:val="22"/>
              </w:rPr>
              <w:tab/>
              <w:t>AL PROCESO</w:t>
            </w:r>
            <w:r w:rsidRPr="00283E81">
              <w:rPr>
                <w:rFonts w:ascii="Garamond" w:hAnsi="Garamond"/>
                <w:b/>
                <w:color w:val="000000"/>
                <w:sz w:val="22"/>
                <w:szCs w:val="22"/>
              </w:rPr>
              <w:tab/>
              <w:t>DE CONTRATACIÓN</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EEC1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B798C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PROCESO DE CONTRATACIÓN CUBIERTO POR EL ACUERDO COMERCIAL</w:t>
            </w:r>
          </w:p>
        </w:tc>
      </w:tr>
      <w:tr w:rsidR="00A4531F" w:rsidRPr="00283E81" w14:paraId="69A0D586" w14:textId="77777777" w:rsidTr="002C1CDA">
        <w:trPr>
          <w:trHeight w:val="244"/>
        </w:trPr>
        <w:tc>
          <w:tcPr>
            <w:tcW w:w="1154"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1B922616" w14:textId="3FA8E153"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Alianza pacifico</w:t>
            </w: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CBD5EF" w14:textId="2D9D4E7F"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1410"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36DB17A7" w14:textId="4EB4D8CD"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0E2735BE" w14:textId="750A3263"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114565DC" w14:textId="4C83C9F6"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2E61665D" w14:textId="33CA27D0"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CCA4702" w14:textId="77777777" w:rsidTr="002C1CDA">
        <w:trPr>
          <w:trHeight w:val="244"/>
        </w:trPr>
        <w:tc>
          <w:tcPr>
            <w:tcW w:w="1154" w:type="dxa"/>
            <w:vMerge/>
            <w:tcBorders>
              <w:left w:val="single" w:sz="4" w:space="0" w:color="000000"/>
              <w:right w:val="single" w:sz="4" w:space="0" w:color="000000"/>
            </w:tcBorders>
            <w:tcMar>
              <w:top w:w="0" w:type="dxa"/>
              <w:left w:w="115" w:type="dxa"/>
              <w:bottom w:w="0" w:type="dxa"/>
              <w:right w:w="115" w:type="dxa"/>
            </w:tcMar>
          </w:tcPr>
          <w:p w14:paraId="7AE73696" w14:textId="42112232"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261AB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1410" w:type="dxa"/>
            <w:vMerge/>
            <w:tcBorders>
              <w:left w:val="single" w:sz="4" w:space="0" w:color="000000"/>
              <w:right w:val="single" w:sz="4" w:space="0" w:color="000000"/>
            </w:tcBorders>
            <w:tcMar>
              <w:top w:w="0" w:type="dxa"/>
              <w:left w:w="115" w:type="dxa"/>
              <w:bottom w:w="0" w:type="dxa"/>
              <w:right w:w="115" w:type="dxa"/>
            </w:tcMar>
          </w:tcPr>
          <w:p w14:paraId="37DBD2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073A456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6186105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6F2D6D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r>
      <w:tr w:rsidR="00A4531F" w:rsidRPr="00283E81" w14:paraId="199C424F" w14:textId="77777777" w:rsidTr="002C1CDA">
        <w:trPr>
          <w:trHeight w:val="247"/>
        </w:trPr>
        <w:tc>
          <w:tcPr>
            <w:tcW w:w="1154"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712DBB0"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82BF1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Perú</w:t>
            </w:r>
          </w:p>
        </w:tc>
        <w:tc>
          <w:tcPr>
            <w:tcW w:w="1410"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57EA7CA6"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59BCC039"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9273555"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035C390"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6073F32F"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A87FC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Canadá</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39EBA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1225A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3B7C8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24AFA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A023A0C" w14:textId="77777777" w:rsidTr="00A111D3">
        <w:trPr>
          <w:trHeight w:val="249"/>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45379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72ED8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0E508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4C6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BB8C4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5BB677AA"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798A3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Corea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B75D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8EDB0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76501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EBA8C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0B77F5B"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1996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Costa Rica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AAB47C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EE7C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3038A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FB3F4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61E6EE84" w14:textId="77777777" w:rsidTr="00A111D3">
        <w:trPr>
          <w:trHeight w:val="249"/>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9D838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Estados AELC</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7CA9D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2FF2D6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7D8A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3308D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44032DA4"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92E4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Estados Unidos</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52618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673F67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9C33A8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AA0EB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52440C07"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FAB80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72E15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3CEAE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0B8CC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23D23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445E14DF" w14:textId="77777777" w:rsidTr="00A111D3">
        <w:trPr>
          <w:trHeight w:val="246"/>
        </w:trPr>
        <w:tc>
          <w:tcPr>
            <w:tcW w:w="1154"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8E3B0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467BC7F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Triángulo norte</w:t>
            </w: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B27C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6063A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BDB7C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45C4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A2748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8EACC41" w14:textId="77777777" w:rsidTr="00A111D3">
        <w:trPr>
          <w:trHeight w:val="249"/>
        </w:trPr>
        <w:tc>
          <w:tcPr>
            <w:tcW w:w="1154"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538C12"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317F4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EDBB5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38B0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DAEB8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8AFB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DCA57D1" w14:textId="77777777" w:rsidTr="00A111D3">
        <w:trPr>
          <w:trHeight w:val="246"/>
        </w:trPr>
        <w:tc>
          <w:tcPr>
            <w:tcW w:w="1154"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2AA98DB"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B6C8B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3F3F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7E24E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9D46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367F9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F768E4E"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97C6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Unión Europea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97400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08097B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4A6B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0EDE6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61F041C" w14:textId="77777777" w:rsidTr="00A111D3">
        <w:trPr>
          <w:trHeight w:val="367"/>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3DEF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Comunidad Andina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2CFA2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8689C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618E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A5EA6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bl>
    <w:p w14:paraId="6EED5599"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1F9CDF6"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La presente contratación </w:t>
      </w:r>
      <w:r w:rsidRPr="00283E81">
        <w:rPr>
          <w:rFonts w:ascii="Garamond" w:hAnsi="Garamond"/>
          <w:b/>
          <w:color w:val="000000"/>
          <w:sz w:val="22"/>
          <w:szCs w:val="22"/>
        </w:rPr>
        <w:t xml:space="preserve">No </w:t>
      </w:r>
      <w:r w:rsidRPr="00283E81">
        <w:rPr>
          <w:rFonts w:ascii="Garamond" w:hAnsi="Garamond"/>
          <w:color w:val="000000"/>
          <w:sz w:val="22"/>
          <w:szCs w:val="22"/>
        </w:rPr>
        <w:t>está cobijada por un acuerdo internacional o un tratado de libre comercio vigente para Colombia.</w:t>
      </w:r>
    </w:p>
    <w:p w14:paraId="17BD7AE8" w14:textId="77777777" w:rsidR="0093591A" w:rsidRPr="00283E81" w:rsidRDefault="0093591A" w:rsidP="00A4531F">
      <w:pPr>
        <w:pBdr>
          <w:top w:val="nil"/>
          <w:left w:val="nil"/>
          <w:bottom w:val="nil"/>
          <w:right w:val="nil"/>
          <w:between w:val="nil"/>
        </w:pBdr>
        <w:ind w:right="-26"/>
        <w:jc w:val="both"/>
        <w:rPr>
          <w:rFonts w:ascii="Garamond" w:hAnsi="Garamond"/>
          <w:color w:val="000000"/>
          <w:sz w:val="22"/>
          <w:szCs w:val="22"/>
        </w:rPr>
      </w:pPr>
    </w:p>
    <w:p w14:paraId="5A8E11DF"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Las alcaldías están incluidas en la lista de Entidades de los Acuerdos Comerciales con la Alianza Pacifico (únicamente con Chile y Perú), Chile, Costa Rica, los Estados AELC, el Triángulo Norte (únicamente con Guatemala), la Unión Europea; y la Decisión 439 de 1998 de la Secretaría de la CAN. El Acuerdo Comercial con el Triángulo Norte (únicamente con El Salvador y Guatemala) es aplicable a los Procesos de Contratación a partir del límite inferior de la menor cuantía.</w:t>
      </w:r>
    </w:p>
    <w:p w14:paraId="33D9BCA3"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p>
    <w:p w14:paraId="17507094"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presente contratación </w:t>
      </w:r>
      <w:r w:rsidRPr="00283E81">
        <w:rPr>
          <w:rFonts w:ascii="Garamond" w:hAnsi="Garamond"/>
          <w:b/>
          <w:color w:val="000000"/>
          <w:sz w:val="22"/>
          <w:szCs w:val="22"/>
        </w:rPr>
        <w:t xml:space="preserve">SI </w:t>
      </w:r>
      <w:r w:rsidRPr="00283E81">
        <w:rPr>
          <w:rFonts w:ascii="Garamond" w:hAnsi="Garamond"/>
          <w:color w:val="000000"/>
          <w:sz w:val="22"/>
          <w:szCs w:val="22"/>
        </w:rPr>
        <w:t>está cobijada por un acuerdo internacional o un tratado de libre comercio vigente para Colombia.</w:t>
      </w:r>
      <w:r w:rsidRPr="00283E81">
        <w:rPr>
          <w:rFonts w:ascii="Garamond" w:hAnsi="Garamond"/>
          <w:noProof/>
          <w:sz w:val="22"/>
          <w:szCs w:val="22"/>
        </w:rPr>
        <mc:AlternateContent>
          <mc:Choice Requires="wps">
            <w:drawing>
              <wp:anchor distT="0" distB="0" distL="0" distR="0" simplePos="0" relativeHeight="251661312" behindDoc="0" locked="0" layoutInCell="1" hidden="0" allowOverlap="1" wp14:anchorId="0B3E2347" wp14:editId="69DC15FC">
                <wp:simplePos x="0" y="0"/>
                <wp:positionH relativeFrom="column">
                  <wp:posOffset>121525</wp:posOffset>
                </wp:positionH>
                <wp:positionV relativeFrom="paragraph">
                  <wp:posOffset>301983</wp:posOffset>
                </wp:positionV>
                <wp:extent cx="6099175" cy="3726179"/>
                <wp:effectExtent l="0" t="0" r="0" b="0"/>
                <wp:wrapNone/>
                <wp:docPr id="2061966466" name="Rectángulo 2061966466"/>
                <wp:cNvGraphicFramePr/>
                <a:graphic xmlns:a="http://schemas.openxmlformats.org/drawingml/2006/main">
                  <a:graphicData uri="http://schemas.microsoft.com/office/word/2010/wordprocessingShape">
                    <wps:wsp>
                      <wps:cNvSpPr/>
                      <wps:spPr>
                        <a:xfrm>
                          <a:off x="2301175" y="1921673"/>
                          <a:ext cx="6089650" cy="3716654"/>
                        </a:xfrm>
                        <a:prstGeom prst="rect">
                          <a:avLst/>
                        </a:prstGeom>
                        <a:noFill/>
                        <a:ln>
                          <a:noFill/>
                        </a:ln>
                      </wps:spPr>
                      <wps:txbx>
                        <w:txbxContent>
                          <w:p w14:paraId="7FB14154" w14:textId="77777777" w:rsidR="0093591A" w:rsidRDefault="0093591A" w:rsidP="0093591A">
                            <w:pPr>
                              <w:spacing w:line="275" w:lineRule="auto"/>
                              <w:ind w:left="257"/>
                              <w:jc w:val="both"/>
                              <w:textDirection w:val="btLr"/>
                            </w:pPr>
                          </w:p>
                        </w:txbxContent>
                      </wps:txbx>
                      <wps:bodyPr spcFirstLastPara="1" wrap="square" lIns="0" tIns="0" rIns="0" bIns="0" anchor="t" anchorCtr="0">
                        <a:noAutofit/>
                      </wps:bodyPr>
                    </wps:wsp>
                  </a:graphicData>
                </a:graphic>
              </wp:anchor>
            </w:drawing>
          </mc:Choice>
          <mc:Fallback>
            <w:pict>
              <v:rect w14:anchorId="0B3E2347" id="Rectángulo 2061966466" o:spid="_x0000_s1026" style="position:absolute;left:0;text-align:left;margin-left:9.55pt;margin-top:23.8pt;width:480.25pt;height:293.4pt;z-index:2516613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JXu2QEAAIUDAAAOAAAAZHJzL2Uyb0RvYy54bWysU9uO0zAQfUfiHyy/0yTt1t1GTVeIVRHS&#10;Cqpd+ADXsRtLvmG7Tfo5fAs/xthJdxd4Q7y44/H0zJkzJ5u7QSt05j5IaxpczUqMuGG2lebY4G9f&#10;d+9uMQqRmpYqa3iDLzzgu+3bN5ve1XxuO6ta7hGAmFD3rsFdjK4uisA6rmmYWccNPArrNY1w9cei&#10;9bQHdK2KeVmSore+dd4yHgJk78dHvM34QnAWvwgReESqwcAt5tPn85DOYruh9dFT10k20aD/wEJT&#10;aaDpM9Q9jRSdvPwLSkvmbbAizpjVhRVCMp5ngGmq8o9pnjrqeJ4FxAnuWabw/2DZ5/PeI9k2eF6S&#10;ak3IDSEYGaphV4+g3s8f5nhSFr16Bcl6F2r455Pb++kWIEzzD8Lr9AuToQFAF2VVrZYYXcAc63lF&#10;VotRcj5ExKCAlLdrsoTNMKhYrCpCljeponiBcj7Ej9xqlIIGe2CVpabnhxDH0mtJ6mzsTioFeVor&#10;81sCMFOmSOxHvimKw2GYhjjY9gJqBMd2Eno90BD31IMfKox68EiDw/cT9Rwj9cnAEpKhroG/Bodr&#10;QA3rLFgtYjSGH2I23sjp/SlaITP/xGJsPZGDXWcFJl8mM72+56qXr2f7CwAA//8DAFBLAwQUAAYA&#10;CAAAACEAxd7wIOAAAAAJAQAADwAAAGRycy9kb3ducmV2LnhtbEyPzU7DMBCE70i8g7VI3KhTiNI6&#10;xKkqflSO0CIVbm68JBHxOordJvD0LCe47WhGs98Uq8l14oRDaD1pmM8SEEiVty3VGl53j1dLECEa&#10;sqbzhBq+MMCqPD8rTG79SC942sZacAmF3GhoYuxzKUPVoDNh5nsk9j784ExkOdTSDmbkctfJ6yTJ&#10;pDMt8YfG9HjXYPW5PToNm2W/fnvy32PdPbxv9s97db9TUevLi2l9CyLiFP/C8IvP6FAy08EfyQbR&#10;sVZzTmpIFxkI9tVC8XHQkN2kKciykP8XlD8AAAD//wMAUEsBAi0AFAAGAAgAAAAhALaDOJL+AAAA&#10;4QEAABMAAAAAAAAAAAAAAAAAAAAAAFtDb250ZW50X1R5cGVzXS54bWxQSwECLQAUAAYACAAAACEA&#10;OP0h/9YAAACUAQAACwAAAAAAAAAAAAAAAAAvAQAAX3JlbHMvLnJlbHNQSwECLQAUAAYACAAAACEA&#10;eiyV7tkBAACFAwAADgAAAAAAAAAAAAAAAAAuAgAAZHJzL2Uyb0RvYy54bWxQSwECLQAUAAYACAAA&#10;ACEAxd7wIOAAAAAJAQAADwAAAAAAAAAAAAAAAAAzBAAAZHJzL2Rvd25yZXYueG1sUEsFBgAAAAAE&#10;AAQA8wAAAEAFAAAAAA==&#10;" filled="f" stroked="f">
                <v:textbox inset="0,0,0,0">
                  <w:txbxContent>
                    <w:p w14:paraId="7FB14154" w14:textId="77777777" w:rsidR="0093591A" w:rsidRDefault="0093591A" w:rsidP="0093591A">
                      <w:pPr>
                        <w:spacing w:line="275" w:lineRule="auto"/>
                        <w:ind w:left="257"/>
                        <w:jc w:val="both"/>
                        <w:textDirection w:val="btLr"/>
                      </w:pPr>
                    </w:p>
                  </w:txbxContent>
                </v:textbox>
              </v:rect>
            </w:pict>
          </mc:Fallback>
        </mc:AlternateContent>
      </w:r>
    </w:p>
    <w:p w14:paraId="6904DAE5" w14:textId="77777777" w:rsidR="0093591A" w:rsidRPr="00283E81" w:rsidRDefault="0093591A" w:rsidP="0093591A">
      <w:pPr>
        <w:jc w:val="both"/>
        <w:rPr>
          <w:rFonts w:ascii="Garamond" w:hAnsi="Garamond"/>
          <w:sz w:val="22"/>
          <w:szCs w:val="22"/>
        </w:rPr>
      </w:pPr>
    </w:p>
    <w:tbl>
      <w:tblPr>
        <w:tblpPr w:leftFromText="141" w:rightFromText="141" w:vertAnchor="text" w:tblpXSpec="center"/>
        <w:tblW w:w="96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8"/>
        <w:gridCol w:w="1407"/>
        <w:gridCol w:w="1038"/>
        <w:gridCol w:w="1356"/>
        <w:gridCol w:w="1356"/>
        <w:gridCol w:w="1176"/>
        <w:gridCol w:w="1356"/>
        <w:gridCol w:w="816"/>
      </w:tblGrid>
      <w:tr w:rsidR="0093591A" w:rsidRPr="00283E81" w14:paraId="0BEEDD6D" w14:textId="77777777" w:rsidTr="00A111D3">
        <w:trPr>
          <w:trHeight w:val="1799"/>
          <w:jc w:val="center"/>
        </w:trPr>
        <w:tc>
          <w:tcPr>
            <w:tcW w:w="2505" w:type="dxa"/>
            <w:gridSpan w:val="2"/>
          </w:tcPr>
          <w:p w14:paraId="7A4E716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E61AA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Acuerdo Comercial</w:t>
            </w:r>
          </w:p>
        </w:tc>
        <w:tc>
          <w:tcPr>
            <w:tcW w:w="1038" w:type="dxa"/>
          </w:tcPr>
          <w:p w14:paraId="73D3029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11643A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Entidad Estatal incluida</w:t>
            </w:r>
          </w:p>
        </w:tc>
        <w:tc>
          <w:tcPr>
            <w:tcW w:w="1356" w:type="dxa"/>
          </w:tcPr>
          <w:p w14:paraId="4E2E228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Presupuesto del Proceso de Contratación superior al valor del Acuerdo</w:t>
            </w:r>
          </w:p>
          <w:p w14:paraId="5AEF6C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Comercial</w:t>
            </w:r>
          </w:p>
        </w:tc>
        <w:tc>
          <w:tcPr>
            <w:tcW w:w="1356" w:type="dxa"/>
          </w:tcPr>
          <w:p w14:paraId="2E13560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 aplicable al Proceso de Contratación</w:t>
            </w:r>
          </w:p>
        </w:tc>
        <w:tc>
          <w:tcPr>
            <w:tcW w:w="1176" w:type="dxa"/>
          </w:tcPr>
          <w:p w14:paraId="36D7F49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5CEA7C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p w14:paraId="3407919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w:t>
            </w:r>
          </w:p>
        </w:tc>
        <w:tc>
          <w:tcPr>
            <w:tcW w:w="1356" w:type="dxa"/>
          </w:tcPr>
          <w:p w14:paraId="2168A02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Proceso de Contratación cubierto por el Acuerdo Comercial</w:t>
            </w:r>
          </w:p>
        </w:tc>
        <w:tc>
          <w:tcPr>
            <w:tcW w:w="816" w:type="dxa"/>
          </w:tcPr>
          <w:p w14:paraId="45D4B34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37C59AEC" w14:textId="77777777" w:rsidTr="00A111D3">
        <w:trPr>
          <w:trHeight w:val="347"/>
          <w:jc w:val="center"/>
        </w:trPr>
        <w:tc>
          <w:tcPr>
            <w:tcW w:w="1098" w:type="dxa"/>
            <w:vMerge w:val="restart"/>
          </w:tcPr>
          <w:p w14:paraId="65B1534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Alianza Pacífico</w:t>
            </w:r>
          </w:p>
        </w:tc>
        <w:tc>
          <w:tcPr>
            <w:tcW w:w="1407" w:type="dxa"/>
          </w:tcPr>
          <w:p w14:paraId="5ED4728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Chile</w:t>
            </w:r>
          </w:p>
        </w:tc>
        <w:tc>
          <w:tcPr>
            <w:tcW w:w="1038" w:type="dxa"/>
          </w:tcPr>
          <w:p w14:paraId="1739A30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930B13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C0B6B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5D19131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25FE7EB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2F50547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501FF63" w14:textId="77777777" w:rsidTr="00A111D3">
        <w:trPr>
          <w:trHeight w:val="347"/>
          <w:jc w:val="center"/>
        </w:trPr>
        <w:tc>
          <w:tcPr>
            <w:tcW w:w="1098" w:type="dxa"/>
            <w:vMerge/>
          </w:tcPr>
          <w:p w14:paraId="32D517F7"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34053C7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Perú</w:t>
            </w:r>
          </w:p>
        </w:tc>
        <w:tc>
          <w:tcPr>
            <w:tcW w:w="1038" w:type="dxa"/>
          </w:tcPr>
          <w:p w14:paraId="47ED83F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DED43D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124FB1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645FB1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15BE23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3A5D368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7449AE9F" w14:textId="77777777" w:rsidTr="00A111D3">
        <w:trPr>
          <w:trHeight w:val="349"/>
          <w:jc w:val="center"/>
        </w:trPr>
        <w:tc>
          <w:tcPr>
            <w:tcW w:w="1098" w:type="dxa"/>
            <w:vMerge/>
          </w:tcPr>
          <w:p w14:paraId="58AF35BB"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54AD2CA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México</w:t>
            </w:r>
          </w:p>
        </w:tc>
        <w:tc>
          <w:tcPr>
            <w:tcW w:w="1038" w:type="dxa"/>
          </w:tcPr>
          <w:p w14:paraId="1298290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26B3AF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6C15FB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3817E1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9CF224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4A63DE0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50FD668E" w14:textId="77777777" w:rsidTr="00A111D3">
        <w:trPr>
          <w:trHeight w:val="347"/>
          <w:jc w:val="center"/>
        </w:trPr>
        <w:tc>
          <w:tcPr>
            <w:tcW w:w="2505" w:type="dxa"/>
            <w:gridSpan w:val="2"/>
          </w:tcPr>
          <w:p w14:paraId="49BD022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Costa Rica</w:t>
            </w:r>
          </w:p>
        </w:tc>
        <w:tc>
          <w:tcPr>
            <w:tcW w:w="1038" w:type="dxa"/>
          </w:tcPr>
          <w:p w14:paraId="730927E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414D960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58823A6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70663E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B340F8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4745849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347DFD96" w14:textId="77777777" w:rsidTr="00A111D3">
        <w:trPr>
          <w:trHeight w:val="347"/>
          <w:jc w:val="center"/>
        </w:trPr>
        <w:tc>
          <w:tcPr>
            <w:tcW w:w="2505" w:type="dxa"/>
            <w:gridSpan w:val="2"/>
          </w:tcPr>
          <w:p w14:paraId="2454488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Canadá</w:t>
            </w:r>
          </w:p>
        </w:tc>
        <w:tc>
          <w:tcPr>
            <w:tcW w:w="1038" w:type="dxa"/>
          </w:tcPr>
          <w:p w14:paraId="506F2EF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5468D3D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49344A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0BDB64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7907769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2E5CADA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6C59D23A" w14:textId="77777777" w:rsidTr="00A111D3">
        <w:trPr>
          <w:trHeight w:val="347"/>
          <w:jc w:val="center"/>
        </w:trPr>
        <w:tc>
          <w:tcPr>
            <w:tcW w:w="2505" w:type="dxa"/>
            <w:gridSpan w:val="2"/>
          </w:tcPr>
          <w:p w14:paraId="6076463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Chile</w:t>
            </w:r>
          </w:p>
        </w:tc>
        <w:tc>
          <w:tcPr>
            <w:tcW w:w="1038" w:type="dxa"/>
          </w:tcPr>
          <w:p w14:paraId="3471C82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0C18AE9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29EF1E6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556DB1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C2C428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790267E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44331977" w14:textId="77777777" w:rsidTr="00A111D3">
        <w:trPr>
          <w:trHeight w:val="348"/>
          <w:jc w:val="center"/>
        </w:trPr>
        <w:tc>
          <w:tcPr>
            <w:tcW w:w="2505" w:type="dxa"/>
            <w:gridSpan w:val="2"/>
          </w:tcPr>
          <w:p w14:paraId="4CE2E0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Estados Unidos</w:t>
            </w:r>
          </w:p>
        </w:tc>
        <w:tc>
          <w:tcPr>
            <w:tcW w:w="1038" w:type="dxa"/>
          </w:tcPr>
          <w:p w14:paraId="36DAABB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DF9CB3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2F4F6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AA0CB3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45A1B50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67ABC86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ECEFBC8" w14:textId="77777777" w:rsidTr="00A111D3">
        <w:trPr>
          <w:trHeight w:val="347"/>
          <w:jc w:val="center"/>
        </w:trPr>
        <w:tc>
          <w:tcPr>
            <w:tcW w:w="1098" w:type="dxa"/>
            <w:vMerge w:val="restart"/>
          </w:tcPr>
          <w:p w14:paraId="7764B71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Triángulo Norte</w:t>
            </w:r>
          </w:p>
        </w:tc>
        <w:tc>
          <w:tcPr>
            <w:tcW w:w="1407" w:type="dxa"/>
          </w:tcPr>
          <w:p w14:paraId="6DD16E9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Guatemala</w:t>
            </w:r>
          </w:p>
        </w:tc>
        <w:tc>
          <w:tcPr>
            <w:tcW w:w="1038" w:type="dxa"/>
          </w:tcPr>
          <w:p w14:paraId="168C3A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C99CCD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3535E5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405634F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463A1AD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816" w:type="dxa"/>
          </w:tcPr>
          <w:p w14:paraId="3E250F7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7B51D0BB" w14:textId="77777777" w:rsidTr="00A111D3">
        <w:trPr>
          <w:trHeight w:val="347"/>
          <w:jc w:val="center"/>
        </w:trPr>
        <w:tc>
          <w:tcPr>
            <w:tcW w:w="1098" w:type="dxa"/>
            <w:vMerge/>
          </w:tcPr>
          <w:p w14:paraId="559E004C"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297E38E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Salvador</w:t>
            </w:r>
          </w:p>
        </w:tc>
        <w:tc>
          <w:tcPr>
            <w:tcW w:w="1038" w:type="dxa"/>
          </w:tcPr>
          <w:p w14:paraId="6A58DE5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6E5677D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06402A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66AA6D2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332A3B0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762818F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5CA564B0" w14:textId="77777777" w:rsidTr="00A111D3">
        <w:trPr>
          <w:trHeight w:val="350"/>
          <w:jc w:val="center"/>
        </w:trPr>
        <w:tc>
          <w:tcPr>
            <w:tcW w:w="1098" w:type="dxa"/>
            <w:vMerge/>
          </w:tcPr>
          <w:p w14:paraId="0CC18774"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777627C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Honduras</w:t>
            </w:r>
          </w:p>
        </w:tc>
        <w:tc>
          <w:tcPr>
            <w:tcW w:w="1038" w:type="dxa"/>
          </w:tcPr>
          <w:p w14:paraId="0AE212A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1DF2849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BD521E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A8218E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2C01E6C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5FFF35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72C4521" w14:textId="77777777" w:rsidTr="00A111D3">
        <w:trPr>
          <w:trHeight w:val="448"/>
          <w:jc w:val="center"/>
        </w:trPr>
        <w:tc>
          <w:tcPr>
            <w:tcW w:w="1098" w:type="dxa"/>
          </w:tcPr>
          <w:p w14:paraId="501494E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Estados</w:t>
            </w:r>
          </w:p>
          <w:p w14:paraId="40A0F0A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AELC</w:t>
            </w:r>
          </w:p>
        </w:tc>
        <w:tc>
          <w:tcPr>
            <w:tcW w:w="1407" w:type="dxa"/>
          </w:tcPr>
          <w:p w14:paraId="793E14B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Islandia,</w:t>
            </w:r>
          </w:p>
          <w:p w14:paraId="5DAE3BC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Liechtenstein</w:t>
            </w:r>
          </w:p>
        </w:tc>
        <w:tc>
          <w:tcPr>
            <w:tcW w:w="1038" w:type="dxa"/>
          </w:tcPr>
          <w:p w14:paraId="00370B4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AB90E3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0863494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63FDC20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1908DBE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03E945E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bl>
    <w:p w14:paraId="6864C705" w14:textId="77777777" w:rsidR="0093591A" w:rsidRPr="00283E81" w:rsidRDefault="0093591A" w:rsidP="0093591A">
      <w:pPr>
        <w:jc w:val="both"/>
        <w:rPr>
          <w:rFonts w:ascii="Garamond" w:hAnsi="Garamond"/>
          <w:sz w:val="22"/>
          <w:szCs w:val="22"/>
        </w:rPr>
      </w:pPr>
    </w:p>
    <w:p w14:paraId="7D340851"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p>
    <w:tbl>
      <w:tblPr>
        <w:tblW w:w="97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
        <w:gridCol w:w="1386"/>
        <w:gridCol w:w="1460"/>
        <w:gridCol w:w="1607"/>
        <w:gridCol w:w="1287"/>
        <w:gridCol w:w="1323"/>
        <w:gridCol w:w="1043"/>
        <w:gridCol w:w="1124"/>
        <w:gridCol w:w="233"/>
      </w:tblGrid>
      <w:tr w:rsidR="0093591A" w:rsidRPr="00283E81" w14:paraId="620BAC1A" w14:textId="77777777" w:rsidTr="001C3BBF">
        <w:trPr>
          <w:gridBefore w:val="1"/>
          <w:wBefore w:w="268" w:type="dxa"/>
          <w:trHeight w:val="1799"/>
        </w:trPr>
        <w:tc>
          <w:tcPr>
            <w:tcW w:w="2846" w:type="dxa"/>
            <w:gridSpan w:val="2"/>
            <w:tcBorders>
              <w:bottom w:val="nil"/>
            </w:tcBorders>
          </w:tcPr>
          <w:p w14:paraId="5030152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FA800E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Acuerdo Comercial</w:t>
            </w:r>
          </w:p>
        </w:tc>
        <w:tc>
          <w:tcPr>
            <w:tcW w:w="1607" w:type="dxa"/>
          </w:tcPr>
          <w:p w14:paraId="4B36D32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14EDB4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Entidad Estatal incluida</w:t>
            </w:r>
          </w:p>
        </w:tc>
        <w:tc>
          <w:tcPr>
            <w:tcW w:w="1287" w:type="dxa"/>
          </w:tcPr>
          <w:p w14:paraId="193F0C6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Presupuesto del Proceso de Contratación superior al valor del Acuerdo</w:t>
            </w:r>
          </w:p>
          <w:p w14:paraId="22CBD4E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Comercial</w:t>
            </w:r>
          </w:p>
        </w:tc>
        <w:tc>
          <w:tcPr>
            <w:tcW w:w="1323" w:type="dxa"/>
          </w:tcPr>
          <w:p w14:paraId="00B3D4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 aplicable al Proceso de Contratación</w:t>
            </w:r>
          </w:p>
        </w:tc>
        <w:tc>
          <w:tcPr>
            <w:tcW w:w="1043" w:type="dxa"/>
          </w:tcPr>
          <w:p w14:paraId="0DE81A2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C4046D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p w14:paraId="68EAE1C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w:t>
            </w:r>
          </w:p>
        </w:tc>
        <w:tc>
          <w:tcPr>
            <w:tcW w:w="1357" w:type="dxa"/>
            <w:gridSpan w:val="2"/>
          </w:tcPr>
          <w:p w14:paraId="15E3DFC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Proceso de Contratación cubierto por el Acuerdo Comercial</w:t>
            </w:r>
          </w:p>
        </w:tc>
      </w:tr>
      <w:tr w:rsidR="0093591A" w:rsidRPr="00283E81" w14:paraId="4D1DD0C8" w14:textId="77777777" w:rsidTr="001C3BBF">
        <w:trPr>
          <w:gridBefore w:val="1"/>
          <w:wBefore w:w="268" w:type="dxa"/>
          <w:trHeight w:val="450"/>
        </w:trPr>
        <w:tc>
          <w:tcPr>
            <w:tcW w:w="1386" w:type="dxa"/>
            <w:tcBorders>
              <w:top w:val="nil"/>
            </w:tcBorders>
          </w:tcPr>
          <w:p w14:paraId="74D65C1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c>
          <w:tcPr>
            <w:tcW w:w="1460" w:type="dxa"/>
          </w:tcPr>
          <w:p w14:paraId="5E98388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Noruega,</w:t>
            </w:r>
          </w:p>
          <w:p w14:paraId="10BE2A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Suiza</w:t>
            </w:r>
          </w:p>
        </w:tc>
        <w:tc>
          <w:tcPr>
            <w:tcW w:w="1607" w:type="dxa"/>
          </w:tcPr>
          <w:p w14:paraId="6A69A4D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71E58FE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0ECEEC9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3357E60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4E206DB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4E6CC220" w14:textId="77777777" w:rsidTr="001C3BBF">
        <w:trPr>
          <w:gridBefore w:val="1"/>
          <w:wBefore w:w="268" w:type="dxa"/>
          <w:trHeight w:val="348"/>
        </w:trPr>
        <w:tc>
          <w:tcPr>
            <w:tcW w:w="2846" w:type="dxa"/>
            <w:gridSpan w:val="2"/>
          </w:tcPr>
          <w:p w14:paraId="0BDF778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México</w:t>
            </w:r>
          </w:p>
        </w:tc>
        <w:tc>
          <w:tcPr>
            <w:tcW w:w="1607" w:type="dxa"/>
          </w:tcPr>
          <w:p w14:paraId="16FA2F7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287" w:type="dxa"/>
          </w:tcPr>
          <w:p w14:paraId="16FBE0D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57EE690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7041381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1110D94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1FEA30CF" w14:textId="77777777" w:rsidTr="001C3BBF">
        <w:trPr>
          <w:gridBefore w:val="1"/>
          <w:wBefore w:w="268" w:type="dxa"/>
          <w:trHeight w:val="1348"/>
        </w:trPr>
        <w:tc>
          <w:tcPr>
            <w:tcW w:w="1386" w:type="dxa"/>
            <w:vMerge w:val="restart"/>
          </w:tcPr>
          <w:p w14:paraId="3D60221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C08856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DF196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826C80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2D451C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6519F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470104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Unión Europea</w:t>
            </w:r>
          </w:p>
        </w:tc>
        <w:tc>
          <w:tcPr>
            <w:tcW w:w="1460" w:type="dxa"/>
          </w:tcPr>
          <w:p w14:paraId="1A2D1F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Alemania, Austria, Bélgica, Bulgaria, Chipre,</w:t>
            </w:r>
          </w:p>
          <w:p w14:paraId="501D613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Dinamarca</w:t>
            </w:r>
          </w:p>
        </w:tc>
        <w:tc>
          <w:tcPr>
            <w:tcW w:w="1607" w:type="dxa"/>
          </w:tcPr>
          <w:p w14:paraId="12264E6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629B52D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7BC6A2A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0E5ACD9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4C8EDE1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7616EB74" w14:textId="77777777" w:rsidTr="001C3BBF">
        <w:trPr>
          <w:gridBefore w:val="1"/>
          <w:wBefore w:w="268" w:type="dxa"/>
          <w:trHeight w:val="1802"/>
        </w:trPr>
        <w:tc>
          <w:tcPr>
            <w:tcW w:w="1386" w:type="dxa"/>
            <w:vMerge/>
          </w:tcPr>
          <w:p w14:paraId="765F279F"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60" w:type="dxa"/>
          </w:tcPr>
          <w:p w14:paraId="3B80085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Eslovaquia, Eslovenia, España, Estonia, Finlandia, Francia, Grecia,</w:t>
            </w:r>
          </w:p>
          <w:p w14:paraId="39CC6B3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Hungría</w:t>
            </w:r>
          </w:p>
        </w:tc>
        <w:tc>
          <w:tcPr>
            <w:tcW w:w="1607" w:type="dxa"/>
          </w:tcPr>
          <w:p w14:paraId="723ACC2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4B657C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7252008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EEBEED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4C36DB9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F92104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518691D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329695B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55F968F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C3B9D8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5DDB510E" w14:textId="77777777" w:rsidTr="001C3BBF">
        <w:trPr>
          <w:gridBefore w:val="1"/>
          <w:wBefore w:w="268" w:type="dxa"/>
          <w:trHeight w:val="2925"/>
        </w:trPr>
        <w:tc>
          <w:tcPr>
            <w:tcW w:w="1386" w:type="dxa"/>
            <w:vMerge/>
          </w:tcPr>
          <w:p w14:paraId="6853AFCF"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60" w:type="dxa"/>
          </w:tcPr>
          <w:p w14:paraId="6D8C7CF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lang w:val="pt-PT"/>
              </w:rPr>
            </w:pPr>
            <w:r w:rsidRPr="00283E81">
              <w:rPr>
                <w:rFonts w:ascii="Garamond" w:hAnsi="Garamond"/>
                <w:color w:val="000000"/>
                <w:sz w:val="22"/>
                <w:szCs w:val="22"/>
                <w:lang w:val="pt-PT"/>
              </w:rPr>
              <w:t>Irlanda, Letonia, Lituania, Luxemburgo, Malta, Países Bajos, Polonia, Portugal, Reino Unido, República Checa, Rumania,</w:t>
            </w:r>
          </w:p>
          <w:p w14:paraId="41A3686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Suecia</w:t>
            </w:r>
          </w:p>
        </w:tc>
        <w:tc>
          <w:tcPr>
            <w:tcW w:w="1607" w:type="dxa"/>
          </w:tcPr>
          <w:p w14:paraId="34E9DCC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AC703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FDA42B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433F089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439E1C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B973D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140BFB3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AB090F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2B651D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376E4D1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D9151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AF3D1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26BC6F7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60DDBF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7CBC462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0BD49D8B" w14:textId="77777777" w:rsidTr="001C3BBF">
        <w:trPr>
          <w:gridBefore w:val="1"/>
          <w:wBefore w:w="268" w:type="dxa"/>
          <w:trHeight w:val="900"/>
        </w:trPr>
        <w:tc>
          <w:tcPr>
            <w:tcW w:w="1386" w:type="dxa"/>
          </w:tcPr>
          <w:p w14:paraId="41C163A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Comunidad Andina de Naciones</w:t>
            </w:r>
          </w:p>
        </w:tc>
        <w:tc>
          <w:tcPr>
            <w:tcW w:w="1460" w:type="dxa"/>
          </w:tcPr>
          <w:p w14:paraId="331992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Bolivia, Ecuador, Perú,</w:t>
            </w:r>
          </w:p>
          <w:p w14:paraId="770E857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Venezuela</w:t>
            </w:r>
          </w:p>
        </w:tc>
        <w:tc>
          <w:tcPr>
            <w:tcW w:w="1607" w:type="dxa"/>
          </w:tcPr>
          <w:p w14:paraId="0323ED5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14560AC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43E8A0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4E6168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0A020DB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r>
      <w:tr w:rsidR="0093591A" w:rsidRPr="00283E81" w14:paraId="11DAA023" w14:textId="77777777" w:rsidTr="001C3BBF">
        <w:trPr>
          <w:gridBefore w:val="1"/>
          <w:wBefore w:w="268" w:type="dxa"/>
          <w:trHeight w:val="347"/>
        </w:trPr>
        <w:tc>
          <w:tcPr>
            <w:tcW w:w="2846" w:type="dxa"/>
            <w:gridSpan w:val="2"/>
          </w:tcPr>
          <w:p w14:paraId="76AC873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Corea</w:t>
            </w:r>
          </w:p>
        </w:tc>
        <w:tc>
          <w:tcPr>
            <w:tcW w:w="1607" w:type="dxa"/>
          </w:tcPr>
          <w:p w14:paraId="53CCC2F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287" w:type="dxa"/>
          </w:tcPr>
          <w:p w14:paraId="715F6F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7548DE1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077D7B2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73EACD8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F768D0" w:rsidRPr="00283E81" w14:paraId="4C07592D" w14:textId="77777777" w:rsidTr="001C3BB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Ex>
        <w:trPr>
          <w:gridAfter w:val="1"/>
          <w:wAfter w:w="233" w:type="dxa"/>
          <w:jc w:val="center"/>
        </w:trPr>
        <w:tc>
          <w:tcPr>
            <w:tcW w:w="9498" w:type="dxa"/>
            <w:gridSpan w:val="8"/>
            <w:shd w:val="clear" w:color="auto" w:fill="D9D9D9"/>
          </w:tcPr>
          <w:p w14:paraId="0988468E" w14:textId="77777777" w:rsidR="00F768D0" w:rsidRPr="00283E81" w:rsidRDefault="00F768D0" w:rsidP="002F4178">
            <w:pPr>
              <w:pStyle w:val="Standard"/>
              <w:jc w:val="both"/>
              <w:rPr>
                <w:rFonts w:ascii="Garamond" w:hAnsi="Garamond" w:cs="Arial"/>
                <w:b/>
                <w:sz w:val="22"/>
                <w:szCs w:val="22"/>
              </w:rPr>
            </w:pPr>
            <w:bookmarkStart w:id="87" w:name="_Hlk79059238"/>
            <w:r w:rsidRPr="00283E81">
              <w:rPr>
                <w:rFonts w:ascii="Garamond" w:hAnsi="Garamond" w:cs="Arial"/>
                <w:b/>
                <w:sz w:val="22"/>
                <w:szCs w:val="22"/>
              </w:rPr>
              <w:t>9. CONDICIONES GENERALES DEL CONTRATO</w:t>
            </w:r>
          </w:p>
        </w:tc>
      </w:tr>
      <w:bookmarkEnd w:id="87"/>
    </w:tbl>
    <w:p w14:paraId="50F4F7E7" w14:textId="77777777" w:rsidR="00F768D0" w:rsidRPr="00283E81" w:rsidRDefault="00F768D0" w:rsidP="00F768D0">
      <w:pPr>
        <w:pStyle w:val="Standard"/>
        <w:jc w:val="both"/>
        <w:rPr>
          <w:rFonts w:ascii="Garamond" w:hAnsi="Garamond" w:cs="Arial"/>
          <w:color w:val="FF3333"/>
          <w:sz w:val="22"/>
          <w:szCs w:val="22"/>
        </w:rPr>
      </w:pPr>
    </w:p>
    <w:p w14:paraId="5C6FF685" w14:textId="77777777" w:rsidR="00377CA7" w:rsidRPr="00283E81" w:rsidRDefault="00377CA7"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bookmarkStart w:id="88" w:name="_Hlk79749289"/>
      <w:r w:rsidRPr="00283E81">
        <w:rPr>
          <w:rFonts w:ascii="Garamond" w:hAnsi="Garamond"/>
          <w:b/>
          <w:color w:val="000000"/>
          <w:sz w:val="22"/>
          <w:szCs w:val="22"/>
        </w:rPr>
        <w:t>9.1 PLAZO</w:t>
      </w:r>
    </w:p>
    <w:p w14:paraId="1D8A37A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El plazo de ejecución del contrato será de </w:t>
      </w:r>
      <w:r w:rsidRPr="00283E81">
        <w:rPr>
          <w:rFonts w:ascii="Garamond" w:hAnsi="Garamond"/>
          <w:b/>
          <w:bCs/>
          <w:color w:val="000000" w:themeColor="text1"/>
          <w:sz w:val="22"/>
          <w:szCs w:val="22"/>
        </w:rPr>
        <w:t>CUATRO (4) MESES</w:t>
      </w:r>
      <w:r w:rsidRPr="00283E81">
        <w:rPr>
          <w:rFonts w:ascii="Garamond" w:hAnsi="Garamond"/>
          <w:color w:val="000000" w:themeColor="text1"/>
          <w:sz w:val="22"/>
          <w:szCs w:val="22"/>
        </w:rPr>
        <w:t xml:space="preserve">, contados a partir de la fecha de suscripción del acta de inicio, previa aprobación de las garantías y expedición del registro presupuestal. El contrato se ejecutará en el marco de dos etapas: I. La primera corresponde a la etapa de </w:t>
      </w:r>
      <w:r w:rsidRPr="00283E81">
        <w:rPr>
          <w:rFonts w:ascii="Garamond" w:hAnsi="Garamond"/>
          <w:b/>
          <w:bCs/>
          <w:color w:val="000000" w:themeColor="text1"/>
          <w:sz w:val="22"/>
          <w:szCs w:val="22"/>
        </w:rPr>
        <w:t xml:space="preserve">DIAGNÓSTICO </w:t>
      </w:r>
      <w:r w:rsidRPr="00283E81">
        <w:rPr>
          <w:rFonts w:ascii="Garamond" w:hAnsi="Garamond"/>
          <w:color w:val="000000" w:themeColor="text1"/>
          <w:sz w:val="22"/>
          <w:szCs w:val="22"/>
        </w:rPr>
        <w:t xml:space="preserve">la cual tendrá una duración máxima de </w:t>
      </w:r>
      <w:r w:rsidRPr="00283E81">
        <w:rPr>
          <w:rFonts w:ascii="Garamond" w:hAnsi="Garamond"/>
          <w:b/>
          <w:bCs/>
          <w:color w:val="000000" w:themeColor="text1"/>
          <w:sz w:val="22"/>
          <w:szCs w:val="22"/>
        </w:rPr>
        <w:t>QUINCE (15) DÍAS</w:t>
      </w:r>
      <w:r w:rsidRPr="00283E81">
        <w:rPr>
          <w:rFonts w:ascii="Garamond" w:hAnsi="Garamond"/>
          <w:color w:val="000000" w:themeColor="text1"/>
          <w:sz w:val="22"/>
          <w:szCs w:val="22"/>
        </w:rPr>
        <w:t xml:space="preserve">. II. La segunda corresponde a la fase de </w:t>
      </w:r>
      <w:r w:rsidRPr="00283E81">
        <w:rPr>
          <w:rFonts w:ascii="Garamond" w:hAnsi="Garamond"/>
          <w:b/>
          <w:bCs/>
          <w:color w:val="000000" w:themeColor="text1"/>
          <w:sz w:val="22"/>
          <w:szCs w:val="22"/>
        </w:rPr>
        <w:t>EJECUCIÓN DE OBRAS</w:t>
      </w:r>
      <w:r w:rsidRPr="00283E81">
        <w:rPr>
          <w:rFonts w:ascii="Garamond" w:hAnsi="Garamond"/>
          <w:color w:val="000000" w:themeColor="text1"/>
          <w:sz w:val="22"/>
          <w:szCs w:val="22"/>
        </w:rPr>
        <w:t xml:space="preserve">, la cual tendrá una duración máxima de </w:t>
      </w:r>
      <w:r w:rsidRPr="00283E81">
        <w:rPr>
          <w:rFonts w:ascii="Garamond" w:hAnsi="Garamond"/>
          <w:b/>
          <w:bCs/>
          <w:color w:val="000000" w:themeColor="text1"/>
          <w:sz w:val="22"/>
          <w:szCs w:val="22"/>
        </w:rPr>
        <w:t xml:space="preserve">TRES (3) MESES Y QUINCE (15) </w:t>
      </w:r>
      <w:r w:rsidRPr="00283E81">
        <w:rPr>
          <w:rFonts w:ascii="Garamond" w:hAnsi="Garamond"/>
          <w:b/>
          <w:bCs/>
          <w:sz w:val="22"/>
          <w:szCs w:val="22"/>
        </w:rPr>
        <w:t>DÍAS</w:t>
      </w:r>
      <w:r w:rsidRPr="00283E81">
        <w:rPr>
          <w:rFonts w:ascii="Garamond" w:hAnsi="Garamond"/>
          <w:b/>
          <w:bCs/>
          <w:color w:val="000000" w:themeColor="text1"/>
          <w:sz w:val="22"/>
          <w:szCs w:val="22"/>
        </w:rPr>
        <w:t>.</w:t>
      </w:r>
    </w:p>
    <w:p w14:paraId="26B76E69" w14:textId="77777777" w:rsidR="00620FD6" w:rsidRPr="00283E81" w:rsidRDefault="00620FD6"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p>
    <w:p w14:paraId="6D5F96CE" w14:textId="598A38F1" w:rsidR="00377CA7" w:rsidRPr="00283E81" w:rsidRDefault="00377CA7"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9.2 VALOR </w:t>
      </w:r>
    </w:p>
    <w:p w14:paraId="54BB8A3B" w14:textId="46375CF6" w:rsidR="00377CA7" w:rsidRPr="00283E81" w:rsidRDefault="00377CA7"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lastRenderedPageBreak/>
        <w:t xml:space="preserve">El valor del contrato se estima hasta por la suma de </w:t>
      </w:r>
      <w:r w:rsidR="4A54EC5D" w:rsidRPr="00283E81">
        <w:rPr>
          <w:rFonts w:ascii="Garamond" w:hAnsi="Garamond"/>
          <w:b/>
          <w:bCs/>
          <w:sz w:val="22"/>
          <w:szCs w:val="22"/>
        </w:rPr>
        <w:t>TRESCIENTOS NOVENTA Y SIETE MILLONES</w:t>
      </w:r>
      <w:r w:rsidR="4A54EC5D" w:rsidRPr="00283E81">
        <w:rPr>
          <w:rFonts w:ascii="Garamond" w:hAnsi="Garamond"/>
          <w:b/>
          <w:bCs/>
          <w:color w:val="000000" w:themeColor="text1"/>
          <w:sz w:val="22"/>
          <w:szCs w:val="22"/>
        </w:rPr>
        <w:t xml:space="preserve"> OCHOCIENTOS MIL QUINIENTOS DOS PESOS M/CTE ($</w:t>
      </w:r>
      <w:r w:rsidR="4A54EC5D" w:rsidRPr="00283E81">
        <w:rPr>
          <w:rFonts w:ascii="Garamond" w:hAnsi="Garamond"/>
          <w:b/>
          <w:bCs/>
          <w:sz w:val="22"/>
          <w:szCs w:val="22"/>
        </w:rPr>
        <w:t>397</w:t>
      </w:r>
      <w:r w:rsidR="4A54EC5D" w:rsidRPr="00283E81">
        <w:rPr>
          <w:rFonts w:ascii="Garamond" w:hAnsi="Garamond"/>
          <w:b/>
          <w:bCs/>
          <w:color w:val="000000" w:themeColor="text1"/>
          <w:sz w:val="22"/>
          <w:szCs w:val="22"/>
        </w:rPr>
        <w:t>.800.502)</w:t>
      </w:r>
      <w:r w:rsidRPr="00283E81">
        <w:rPr>
          <w:rFonts w:ascii="Garamond" w:hAnsi="Garamond"/>
          <w:b/>
          <w:bCs/>
          <w:color w:val="000000" w:themeColor="text1"/>
          <w:sz w:val="22"/>
          <w:szCs w:val="22"/>
        </w:rPr>
        <w:t xml:space="preserve">. </w:t>
      </w:r>
      <w:r w:rsidRPr="00283E81">
        <w:rPr>
          <w:rFonts w:ascii="Garamond" w:hAnsi="Garamond"/>
          <w:color w:val="000000" w:themeColor="text1"/>
          <w:sz w:val="22"/>
          <w:szCs w:val="22"/>
        </w:rPr>
        <w:t>Incluido A.I.U., impuestos, tasas legales vigentes al momento de la apertura del presente proceso y demás costos directos e indirectos que la ejecución del Contrato conlleve, de la vigencia fiscal 2025, con cargo al</w:t>
      </w:r>
      <w:r w:rsidR="6A113371" w:rsidRPr="00283E81">
        <w:rPr>
          <w:rFonts w:ascii="Garamond" w:hAnsi="Garamond"/>
          <w:color w:val="000000" w:themeColor="text1"/>
          <w:sz w:val="22"/>
          <w:szCs w:val="22"/>
        </w:rPr>
        <w:t xml:space="preserve"> rubro O23011745992024241201000</w:t>
      </w:r>
      <w:r w:rsidRPr="00283E81">
        <w:rPr>
          <w:rFonts w:ascii="Garamond" w:hAnsi="Garamond"/>
          <w:color w:val="000000" w:themeColor="text1"/>
          <w:sz w:val="22"/>
          <w:szCs w:val="22"/>
        </w:rPr>
        <w:t>– Fontibón camina hacia el fortalecimiento institucional.</w:t>
      </w:r>
    </w:p>
    <w:p w14:paraId="2D0FC7FB" w14:textId="709CC65D" w:rsidR="00377CA7" w:rsidRPr="00283E81" w:rsidRDefault="00377CA7" w:rsidP="7B655BC0">
      <w:pPr>
        <w:pBdr>
          <w:top w:val="nil"/>
          <w:left w:val="nil"/>
          <w:bottom w:val="nil"/>
          <w:right w:val="nil"/>
          <w:between w:val="nil"/>
        </w:pBdr>
        <w:jc w:val="both"/>
        <w:rPr>
          <w:rFonts w:ascii="Garamond" w:hAnsi="Garamond"/>
          <w:color w:val="000000" w:themeColor="text1"/>
          <w:sz w:val="22"/>
          <w:szCs w:val="22"/>
        </w:rPr>
      </w:pPr>
    </w:p>
    <w:p w14:paraId="5177B7D5"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9.3 FORMA DE PAGO</w:t>
      </w:r>
    </w:p>
    <w:p w14:paraId="7D0C2421" w14:textId="257B11E6" w:rsidR="00377CA7" w:rsidRPr="00283E81" w:rsidRDefault="0027CD53" w:rsidP="72D4DDC5">
      <w:pPr>
        <w:pBdr>
          <w:top w:val="nil"/>
          <w:left w:val="nil"/>
          <w:bottom w:val="nil"/>
          <w:right w:val="nil"/>
          <w:between w:val="nil"/>
        </w:pBdr>
        <w:jc w:val="both"/>
        <w:rPr>
          <w:rFonts w:ascii="Garamond" w:hAnsi="Garamond"/>
          <w:color w:val="000000" w:themeColor="text1"/>
          <w:sz w:val="22"/>
          <w:szCs w:val="22"/>
        </w:rPr>
      </w:pPr>
      <w:r w:rsidRPr="00283E81">
        <w:rPr>
          <w:rFonts w:ascii="Garamond" w:hAnsi="Garamond"/>
          <w:color w:val="000000" w:themeColor="text1"/>
          <w:sz w:val="22"/>
          <w:szCs w:val="22"/>
        </w:rPr>
        <w:t>EL FONDO, pagará el valor del Contrato, así:</w:t>
      </w:r>
    </w:p>
    <w:p w14:paraId="1BFFB741" w14:textId="3713A02E" w:rsidR="00377CA7" w:rsidRPr="00283E81" w:rsidRDefault="00377CA7" w:rsidP="72D4DDC5">
      <w:pPr>
        <w:pBdr>
          <w:top w:val="nil"/>
          <w:left w:val="nil"/>
          <w:bottom w:val="nil"/>
          <w:right w:val="nil"/>
          <w:between w:val="nil"/>
        </w:pBdr>
        <w:jc w:val="both"/>
        <w:rPr>
          <w:rFonts w:ascii="Garamond" w:hAnsi="Garamond"/>
          <w:color w:val="000000" w:themeColor="text1"/>
          <w:sz w:val="22"/>
          <w:szCs w:val="22"/>
        </w:rPr>
      </w:pPr>
    </w:p>
    <w:p w14:paraId="79532A93" w14:textId="58DEEEE4" w:rsidR="00377CA7" w:rsidRPr="00283E81" w:rsidRDefault="0027CD53" w:rsidP="72D4DDC5">
      <w:pPr>
        <w:pStyle w:val="Prrafodelista"/>
        <w:numPr>
          <w:ilvl w:val="0"/>
          <w:numId w:val="2"/>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FONDO DE DESARROLLO LOCAL DE FONTIBÓN, se compromete a pagar el valor total del contrato mediante pagos mensuales de conformidad con el porcentaje de avance de ejecución físico del con-trato hasta un 90% del valor del contrato, previa presentación de los siguientes documentos:</w:t>
      </w:r>
    </w:p>
    <w:p w14:paraId="4DDDEBDD" w14:textId="01FBF88B" w:rsidR="00377CA7" w:rsidRPr="00283E81" w:rsidRDefault="00377CA7" w:rsidP="72D4DDC5">
      <w:pPr>
        <w:pStyle w:val="Prrafodelista"/>
        <w:pBdr>
          <w:top w:val="nil"/>
          <w:left w:val="nil"/>
          <w:bottom w:val="nil"/>
          <w:right w:val="nil"/>
          <w:between w:val="nil"/>
        </w:pBdr>
        <w:rPr>
          <w:rFonts w:ascii="Garamond" w:hAnsi="Garamond"/>
          <w:color w:val="000000" w:themeColor="text1"/>
        </w:rPr>
      </w:pPr>
    </w:p>
    <w:p w14:paraId="113F20E8" w14:textId="3C361605"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Oficio remisorio</w:t>
      </w:r>
    </w:p>
    <w:p w14:paraId="2E430BD7" w14:textId="0E30288D"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Factura electrónica desagregada o cuenta de cobro.</w:t>
      </w:r>
    </w:p>
    <w:p w14:paraId="685DC561" w14:textId="1C97D514"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Resolución de facturación vigente</w:t>
      </w:r>
    </w:p>
    <w:p w14:paraId="1EA1D750" w14:textId="24D22E3E"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Informe de actividades con sus respectivos anexos en original debidamente firmado por el supervisor de con-trato, el apoyo a la supervisión y el contratista (formato: GCO-GCI-F110)</w:t>
      </w:r>
    </w:p>
    <w:p w14:paraId="2527AEC1" w14:textId="4B976FE3"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Informe financiero en forma desagregada</w:t>
      </w:r>
    </w:p>
    <w:p w14:paraId="75631931" w14:textId="79BC480D"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Certificado de cumplimiento o acta de recibo a satisfacción expedido por el interventor y/o supervisor del contrato.</w:t>
      </w:r>
    </w:p>
    <w:p w14:paraId="3D6F89D5" w14:textId="53518848"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Acta de ingreso y salida de los bienes al almacén (cuando aplique).</w:t>
      </w:r>
    </w:p>
    <w:p w14:paraId="58515381" w14:textId="7A636DC9"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Soportes fotográficos (cuando aplique)</w:t>
      </w:r>
    </w:p>
    <w:p w14:paraId="1882764F" w14:textId="6B024DC1"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Certificación bancaria no mayor a 90 días</w:t>
      </w:r>
    </w:p>
    <w:p w14:paraId="5F82DEA8" w14:textId="6D67A3A8"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 xml:space="preserve">Certificación suscrita por el representante legal o revisor fiscal, que acredite el cumplimiento del pago de las obligaciones del contratista frente a los aportes de seguridad social integral durante la vigencia del contrato, aportando las respectivas planillas de pago de los aportes al régimen de seguridad social, para el periodo cobrado, en proporción al valor mensual del contrato, cuando se trate de personas naturales, en cumplimiento a lo </w:t>
      </w:r>
      <w:proofErr w:type="spellStart"/>
      <w:r w:rsidRPr="00283E81">
        <w:rPr>
          <w:rFonts w:ascii="Garamond" w:eastAsia="Times New Roman" w:hAnsi="Garamond" w:cs="Lohit Hindi"/>
          <w:color w:val="000000" w:themeColor="text1"/>
          <w:lang w:eastAsia="zh-CN" w:bidi="hi-IN"/>
        </w:rPr>
        <w:t>esta</w:t>
      </w:r>
      <w:proofErr w:type="spellEnd"/>
      <w:r w:rsidRPr="00283E81">
        <w:rPr>
          <w:rFonts w:ascii="Garamond" w:eastAsia="Times New Roman" w:hAnsi="Garamond" w:cs="Lohit Hindi"/>
          <w:color w:val="000000" w:themeColor="text1"/>
          <w:lang w:eastAsia="zh-CN" w:bidi="hi-IN"/>
        </w:rPr>
        <w:t>-</w:t>
      </w:r>
      <w:proofErr w:type="spellStart"/>
      <w:r w:rsidRPr="00283E81">
        <w:rPr>
          <w:rFonts w:ascii="Garamond" w:eastAsia="Times New Roman" w:hAnsi="Garamond" w:cs="Lohit Hindi"/>
          <w:color w:val="000000" w:themeColor="text1"/>
          <w:lang w:eastAsia="zh-CN" w:bidi="hi-IN"/>
        </w:rPr>
        <w:t>blecido</w:t>
      </w:r>
      <w:proofErr w:type="spellEnd"/>
      <w:r w:rsidRPr="00283E81">
        <w:rPr>
          <w:rFonts w:ascii="Garamond" w:eastAsia="Times New Roman" w:hAnsi="Garamond" w:cs="Lohit Hindi"/>
          <w:color w:val="000000" w:themeColor="text1"/>
          <w:lang w:eastAsia="zh-CN" w:bidi="hi-IN"/>
        </w:rPr>
        <w:t xml:space="preserve"> en la Ley 789 de 2002.</w:t>
      </w:r>
    </w:p>
    <w:p w14:paraId="2AEFECC7" w14:textId="56184B9E"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Cuadro de seguimiento de pagos</w:t>
      </w:r>
    </w:p>
    <w:p w14:paraId="0455AFB3" w14:textId="4FE1FE30"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Informe de supervisión para los contratos</w:t>
      </w:r>
    </w:p>
    <w:p w14:paraId="190A1602" w14:textId="6B455726"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Clausulado del contrato, acta de inicio, formato de relación de contratos, RUT y RIT para efectos del primer pago</w:t>
      </w:r>
    </w:p>
    <w:p w14:paraId="64B50C6A" w14:textId="6D434EB8"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Suscripción del acta de liquidación para efectos del último pago</w:t>
      </w:r>
    </w:p>
    <w:p w14:paraId="73E9167E" w14:textId="17AFC75A"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Demás documentos que forman parte integral de la ejecución del contrato.</w:t>
      </w:r>
    </w:p>
    <w:p w14:paraId="7EC4B0D4" w14:textId="1EC9CC1E" w:rsidR="00377CA7" w:rsidRPr="00283E81" w:rsidRDefault="00377CA7" w:rsidP="72D4DDC5">
      <w:pPr>
        <w:pBdr>
          <w:top w:val="nil"/>
          <w:left w:val="nil"/>
          <w:bottom w:val="nil"/>
          <w:right w:val="nil"/>
          <w:between w:val="nil"/>
        </w:pBdr>
        <w:jc w:val="both"/>
        <w:rPr>
          <w:rFonts w:ascii="Garamond" w:hAnsi="Garamond"/>
          <w:color w:val="000000" w:themeColor="text1"/>
          <w:sz w:val="22"/>
          <w:szCs w:val="22"/>
        </w:rPr>
      </w:pPr>
    </w:p>
    <w:p w14:paraId="0652D3FE" w14:textId="34C46F7F" w:rsidR="00377CA7" w:rsidRPr="00283E81" w:rsidRDefault="0027CD53" w:rsidP="72D4DDC5">
      <w:pPr>
        <w:pStyle w:val="Prrafodelista"/>
        <w:numPr>
          <w:ilvl w:val="0"/>
          <w:numId w:val="2"/>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El diez (10%) restante previa suscripción del acta de liquidación por parte del FONDO y el Contratista. Previa certificación del cumplimiento expedida por el supervisor y/o interventor y presentación del informe y de la factura de cobro correctamente elaborada.</w:t>
      </w:r>
    </w:p>
    <w:p w14:paraId="5EEE7D54" w14:textId="71598AF3" w:rsidR="00377CA7" w:rsidRPr="00283E81" w:rsidRDefault="7991BCAF" w:rsidP="72D4DDC5">
      <w:pPr>
        <w:pBdr>
          <w:top w:val="nil"/>
          <w:left w:val="nil"/>
          <w:bottom w:val="nil"/>
          <w:right w:val="nil"/>
          <w:between w:val="nil"/>
        </w:pBdr>
        <w:jc w:val="both"/>
        <w:rPr>
          <w:rFonts w:ascii="Garamond" w:hAnsi="Garamond"/>
          <w:b/>
          <w:bCs/>
          <w:color w:val="000000" w:themeColor="text1"/>
          <w:sz w:val="22"/>
          <w:szCs w:val="22"/>
        </w:rPr>
      </w:pPr>
      <w:r w:rsidRPr="00283E81">
        <w:rPr>
          <w:rFonts w:ascii="Garamond" w:hAnsi="Garamond"/>
          <w:b/>
          <w:bCs/>
          <w:color w:val="000000" w:themeColor="text1"/>
          <w:sz w:val="22"/>
          <w:szCs w:val="22"/>
        </w:rPr>
        <w:t>9.4. ÍTEMS NO PREVISTOS</w:t>
      </w:r>
    </w:p>
    <w:p w14:paraId="43266F20" w14:textId="54D0B858" w:rsidR="00377CA7" w:rsidRPr="00283E81" w:rsidRDefault="7991BCAF" w:rsidP="72D4DDC5">
      <w:pPr>
        <w:pBdr>
          <w:top w:val="nil"/>
          <w:left w:val="nil"/>
          <w:bottom w:val="nil"/>
          <w:right w:val="nil"/>
          <w:between w:val="nil"/>
        </w:pBdr>
        <w:ind w:left="708"/>
        <w:jc w:val="both"/>
        <w:rPr>
          <w:rFonts w:ascii="Garamond" w:hAnsi="Garamond"/>
          <w:color w:val="000000" w:themeColor="text1"/>
          <w:sz w:val="22"/>
          <w:szCs w:val="22"/>
        </w:rPr>
      </w:pPr>
      <w:r w:rsidRPr="00283E81">
        <w:rPr>
          <w:rFonts w:ascii="Garamond" w:hAnsi="Garamond"/>
          <w:color w:val="000000" w:themeColor="text1"/>
          <w:sz w:val="22"/>
          <w:szCs w:val="22"/>
        </w:rPr>
        <w:t xml:space="preserve">Se entiende por ítem no previsto aquel que no está incluido en las condiciones originales del contrato y </w:t>
      </w:r>
      <w:r w:rsidRPr="00283E81">
        <w:rPr>
          <w:rFonts w:ascii="Garamond" w:hAnsi="Garamond"/>
          <w:color w:val="000000" w:themeColor="text1"/>
          <w:sz w:val="22"/>
          <w:szCs w:val="22"/>
        </w:rPr>
        <w:lastRenderedPageBreak/>
        <w:t>por esta razón, no puede ejecutarse con los precios de este, sin embargo, hace parte inseparable de la obra contratada, o es necesario para ejecutar esta obra o protegerla.</w:t>
      </w:r>
    </w:p>
    <w:p w14:paraId="0F362598" w14:textId="1DF59DDA" w:rsidR="00377CA7" w:rsidRPr="00283E81" w:rsidRDefault="00377CA7" w:rsidP="72D4DDC5">
      <w:pPr>
        <w:pBdr>
          <w:top w:val="nil"/>
          <w:left w:val="nil"/>
          <w:bottom w:val="nil"/>
          <w:right w:val="nil"/>
          <w:between w:val="nil"/>
        </w:pBdr>
        <w:ind w:left="708"/>
        <w:jc w:val="both"/>
        <w:rPr>
          <w:rFonts w:ascii="Garamond" w:hAnsi="Garamond"/>
          <w:color w:val="000000" w:themeColor="text1"/>
          <w:sz w:val="22"/>
          <w:szCs w:val="22"/>
        </w:rPr>
      </w:pPr>
    </w:p>
    <w:p w14:paraId="7953DE20" w14:textId="77777777" w:rsidR="00620FD6" w:rsidRPr="00283E81" w:rsidRDefault="7991BCAF" w:rsidP="72D4DDC5">
      <w:pPr>
        <w:pBdr>
          <w:top w:val="nil"/>
          <w:left w:val="nil"/>
          <w:bottom w:val="nil"/>
          <w:right w:val="nil"/>
          <w:between w:val="nil"/>
        </w:pBdr>
        <w:ind w:left="708"/>
        <w:jc w:val="both"/>
        <w:rPr>
          <w:rFonts w:ascii="Garamond" w:hAnsi="Garamond"/>
          <w:color w:val="000000" w:themeColor="text1"/>
          <w:sz w:val="22"/>
          <w:szCs w:val="22"/>
        </w:rPr>
      </w:pPr>
      <w:r w:rsidRPr="00283E81">
        <w:rPr>
          <w:rFonts w:ascii="Garamond" w:hAnsi="Garamond"/>
          <w:color w:val="000000" w:themeColor="text1"/>
          <w:sz w:val="22"/>
          <w:szCs w:val="22"/>
        </w:rPr>
        <w:t xml:space="preserve">Los ítems no previstos deben someterse a la revisión y aval por parte de la Interventoría, atendiendo las particularidades de la obra objeto del contrato y serán aprobados por la Alcaldía Local de </w:t>
      </w:r>
      <w:r w:rsidR="18A4BF8D" w:rsidRPr="00283E81">
        <w:rPr>
          <w:rFonts w:ascii="Garamond" w:hAnsi="Garamond"/>
          <w:color w:val="000000" w:themeColor="text1"/>
          <w:sz w:val="22"/>
          <w:szCs w:val="22"/>
        </w:rPr>
        <w:t>Fontibón</w:t>
      </w:r>
      <w:r w:rsidRPr="00283E81">
        <w:rPr>
          <w:rFonts w:ascii="Garamond" w:hAnsi="Garamond"/>
          <w:color w:val="000000" w:themeColor="text1"/>
          <w:sz w:val="22"/>
          <w:szCs w:val="22"/>
        </w:rPr>
        <w:t xml:space="preserve"> previo al aval del interventor. Para definir el valor de los No Previstos se deberá tener como referencia la base de precios unitarios administrada por el IDRD y el IDU, en caso de que este ítem no se encuentre en la base de precios del IDU y del IDRD, para establecer el valor se realizará un estudio de mercado en el cual se solicitará mínimo tres cotizaciones al contratista, y con base a este estudio la entidad determinara y aprobará el valor del mismo.</w:t>
      </w:r>
    </w:p>
    <w:p w14:paraId="4C1A5D4B" w14:textId="217D6BD6" w:rsidR="00377CA7" w:rsidRPr="00283E81" w:rsidRDefault="00377CA7" w:rsidP="72D4DDC5">
      <w:pPr>
        <w:pBdr>
          <w:top w:val="nil"/>
          <w:left w:val="nil"/>
          <w:bottom w:val="nil"/>
          <w:right w:val="nil"/>
          <w:between w:val="nil"/>
        </w:pBdr>
        <w:ind w:left="708"/>
        <w:jc w:val="both"/>
        <w:rPr>
          <w:rFonts w:ascii="Garamond" w:hAnsi="Garamond"/>
          <w:color w:val="000000" w:themeColor="text1"/>
          <w:sz w:val="22"/>
          <w:szCs w:val="22"/>
        </w:rPr>
      </w:pPr>
    </w:p>
    <w:p w14:paraId="2A79D8D2" w14:textId="3D3F8026" w:rsidR="00377CA7" w:rsidRPr="00283E81" w:rsidRDefault="00377CA7" w:rsidP="72D4DDC5">
      <w:pPr>
        <w:pBdr>
          <w:top w:val="nil"/>
          <w:left w:val="nil"/>
          <w:bottom w:val="nil"/>
          <w:right w:val="nil"/>
          <w:between w:val="nil"/>
        </w:pBdr>
        <w:suppressAutoHyphens w:val="0"/>
        <w:autoSpaceDN/>
        <w:spacing w:before="45" w:line="276" w:lineRule="auto"/>
        <w:jc w:val="both"/>
        <w:textAlignment w:val="auto"/>
        <w:rPr>
          <w:rFonts w:ascii="Garamond" w:hAnsi="Garamond"/>
          <w:b/>
          <w:bCs/>
          <w:color w:val="000000"/>
          <w:sz w:val="22"/>
          <w:szCs w:val="22"/>
        </w:rPr>
      </w:pPr>
      <w:r w:rsidRPr="00283E81">
        <w:rPr>
          <w:rFonts w:ascii="Garamond" w:hAnsi="Garamond"/>
          <w:b/>
          <w:bCs/>
          <w:color w:val="000000" w:themeColor="text1"/>
          <w:sz w:val="22"/>
          <w:szCs w:val="22"/>
        </w:rPr>
        <w:t>9.</w:t>
      </w:r>
      <w:r w:rsidR="1B32A384" w:rsidRPr="00283E81">
        <w:rPr>
          <w:rFonts w:ascii="Garamond" w:hAnsi="Garamond"/>
          <w:b/>
          <w:bCs/>
          <w:color w:val="000000" w:themeColor="text1"/>
          <w:sz w:val="22"/>
          <w:szCs w:val="22"/>
        </w:rPr>
        <w:t>5</w:t>
      </w:r>
      <w:r w:rsidRPr="00283E81">
        <w:rPr>
          <w:rFonts w:ascii="Garamond" w:hAnsi="Garamond"/>
          <w:b/>
          <w:bCs/>
          <w:color w:val="000000" w:themeColor="text1"/>
          <w:sz w:val="22"/>
          <w:szCs w:val="22"/>
        </w:rPr>
        <w:t xml:space="preserve"> OBLIGACIONES GENERALES DEL </w:t>
      </w:r>
      <w:r w:rsidR="00CD5A5F" w:rsidRPr="00283E81">
        <w:rPr>
          <w:rFonts w:ascii="Garamond" w:hAnsi="Garamond"/>
          <w:b/>
          <w:bCs/>
          <w:color w:val="000000" w:themeColor="text1"/>
          <w:sz w:val="22"/>
          <w:szCs w:val="22"/>
        </w:rPr>
        <w:t>CONTRATISTA</w:t>
      </w:r>
    </w:p>
    <w:p w14:paraId="1F7FAA36" w14:textId="18044D8F" w:rsidR="00377CA7" w:rsidRPr="00283E81" w:rsidRDefault="00377CA7" w:rsidP="72D4DDC5">
      <w:pPr>
        <w:pBdr>
          <w:top w:val="nil"/>
          <w:left w:val="nil"/>
          <w:bottom w:val="nil"/>
          <w:right w:val="nil"/>
          <w:between w:val="nil"/>
        </w:pBdr>
        <w:jc w:val="both"/>
        <w:rPr>
          <w:rFonts w:ascii="Garamond" w:hAnsi="Garamond"/>
          <w:sz w:val="22"/>
          <w:szCs w:val="22"/>
        </w:rPr>
      </w:pPr>
    </w:p>
    <w:p w14:paraId="6234E1D3"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Suscribir oportunamente el acta de inicio y el acta de liquidación del contrato, de manera conjunta con el/la supervisor/a del mismo, cuando corresponda.</w:t>
      </w:r>
    </w:p>
    <w:p w14:paraId="7D0136D0"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Entregar al supervisor los documentos elaborados en cumplimiento de las obligaciones contractuales, así como los informes y archivos a su cargo, requeridos sobre las actividades realizadas durante la ejecución de este (Cuando aplique).</w:t>
      </w:r>
    </w:p>
    <w:p w14:paraId="17315539"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Aplicar los lineamientos establecidos en el sistema de gestión institucional y en el Modelo Integrado de Planeación y Gestión – MIPG de la Secretaría Distrital de Gobierno.</w:t>
      </w:r>
    </w:p>
    <w:p w14:paraId="66FC6938"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Mantener estricta reserva y confidencialidad sobre la información que conozca por causa o con ocasión del contrato, así como, respetar la titularidad de los derechos de autor, en relación con los documentos, obras, creaciones que se desarrollen en ejecución del contrato. </w:t>
      </w:r>
    </w:p>
    <w:p w14:paraId="2612E0FE"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estricto cumplimiento al Ideario Ético del Distrito expedido por la Alcaldía Mayor de Bogotá D.C., así como a todas las normas que en materia de ética y valores expedida la Secretaría Distrital de Gobierno en la ejecución del contrato.</w:t>
      </w:r>
    </w:p>
    <w:p w14:paraId="22E4C0E9"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No instalar ni utilizar ningún software sin la autorización previa y escrita de la Dirección de Tecnologías e Información de la Secretaría, así mismo, responder y hacer buen uso de los bienes y recursos tecnológicos (hardware y software), hacer entrega de estos en el estado en que los recibió, salvo el deterioro normal, o daños ocasionados por el caso fortuito o fuerza mayor, (cuando aplique).</w:t>
      </w:r>
    </w:p>
    <w:p w14:paraId="05F9EDA8"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Cuando se trate de personas naturales realizar el pago de los aportes al régimen de seguridad social, en proporción al valor mensual del contrato, y entregar copia de la planilla correspondiente al supervisor del contrato para cada pago. Cuando se trate de personas jurídicas. 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 aquella que lo modifique, adicione o complemente.</w:t>
      </w:r>
    </w:p>
    <w:p w14:paraId="018A6B0F"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Vincular y mantener mínimo el porcentaje (Según los porcentajes que establece el artículo 3 del Decreto Distrital 332 de 2020, de acuerdo a las ramas de la actividad económica del contrato y las fechas para su aplicación)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w:t>
      </w:r>
    </w:p>
    <w:p w14:paraId="20ABA33D"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Realizar el registro de las mujeres que sean contratadas en cumplimiento del presente contrato, en la plataforma de información de la Agencia Pública de Empleo del Distrito “Bogotá Trabaja”.</w:t>
      </w:r>
    </w:p>
    <w:p w14:paraId="42CC5FCE" w14:textId="73265584" w:rsidR="00377CA7"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545FC688" w14:textId="19F6A825" w:rsidR="72D4DDC5" w:rsidRPr="00283E81" w:rsidRDefault="72D4DDC5" w:rsidP="72D4DDC5">
      <w:pPr>
        <w:pBdr>
          <w:top w:val="nil"/>
          <w:left w:val="nil"/>
          <w:bottom w:val="nil"/>
          <w:right w:val="nil"/>
          <w:between w:val="nil"/>
        </w:pBdr>
        <w:jc w:val="both"/>
        <w:rPr>
          <w:rFonts w:ascii="Garamond" w:hAnsi="Garamond"/>
          <w:sz w:val="22"/>
          <w:szCs w:val="22"/>
        </w:rPr>
      </w:pPr>
    </w:p>
    <w:p w14:paraId="42049F82" w14:textId="4F8BA2C3" w:rsidR="00377CA7" w:rsidRPr="00283E81" w:rsidRDefault="00377CA7" w:rsidP="003400E2">
      <w:pPr>
        <w:pStyle w:val="Prrafodelista"/>
        <w:numPr>
          <w:ilvl w:val="1"/>
          <w:numId w:val="75"/>
        </w:numPr>
        <w:pBdr>
          <w:top w:val="nil"/>
          <w:left w:val="nil"/>
          <w:bottom w:val="nil"/>
          <w:right w:val="nil"/>
          <w:between w:val="nil"/>
        </w:pBdr>
        <w:spacing w:before="45" w:line="276" w:lineRule="auto"/>
        <w:rPr>
          <w:rFonts w:ascii="Garamond" w:hAnsi="Garamond"/>
          <w:b/>
          <w:bCs/>
          <w:color w:val="000000"/>
        </w:rPr>
      </w:pPr>
      <w:r w:rsidRPr="00283E81">
        <w:rPr>
          <w:rFonts w:ascii="Garamond" w:hAnsi="Garamond"/>
          <w:b/>
          <w:bCs/>
          <w:color w:val="000000" w:themeColor="text1"/>
        </w:rPr>
        <w:t xml:space="preserve">OBLIGACIONES ESPECÍFICAS DEL </w:t>
      </w:r>
      <w:r w:rsidR="00C45EE4" w:rsidRPr="00283E81">
        <w:rPr>
          <w:rFonts w:ascii="Garamond" w:hAnsi="Garamond"/>
          <w:b/>
          <w:bCs/>
          <w:color w:val="000000" w:themeColor="text1"/>
        </w:rPr>
        <w:t>CONTRATISTA</w:t>
      </w:r>
    </w:p>
    <w:p w14:paraId="1904C74E" w14:textId="77777777" w:rsidR="00C45EE4" w:rsidRPr="00283E81" w:rsidRDefault="00377CA7" w:rsidP="003400E2">
      <w:pPr>
        <w:numPr>
          <w:ilvl w:val="0"/>
          <w:numId w:val="5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con el objeto en la forma y tiempos pactados, de acuerdo con el pliego de condiciones y la propuesta presentada por el proponente favorecido. También ejecutar las diferentes obras de acuerdo con las especificaciones técnicas de secretaria de Gobierno.</w:t>
      </w:r>
    </w:p>
    <w:p w14:paraId="22C0923B" w14:textId="3DE1C30E" w:rsidR="00377CA7" w:rsidRPr="00283E81" w:rsidRDefault="00377CA7" w:rsidP="003400E2">
      <w:pPr>
        <w:numPr>
          <w:ilvl w:val="0"/>
          <w:numId w:val="5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cumplimiento a lo pactado en el Acuerdo No. 15 de 2016, estipulado por la JAL </w:t>
      </w:r>
    </w:p>
    <w:p w14:paraId="0BAED18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Contar con los diferentes frentes de trabajo con la bitácora donde se deberá llevar el registro diario de las actividades realizadas.</w:t>
      </w:r>
    </w:p>
    <w:p w14:paraId="4D36838B"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con los ofrecimientos hechos en la propuesta y atender los requerimientos del </w:t>
      </w:r>
      <w:r w:rsidRPr="00283E81">
        <w:rPr>
          <w:rFonts w:ascii="Garamond" w:hAnsi="Garamond"/>
          <w:sz w:val="22"/>
          <w:szCs w:val="22"/>
        </w:rPr>
        <w:t>Supervisor</w:t>
      </w:r>
      <w:r w:rsidRPr="00283E81">
        <w:rPr>
          <w:rFonts w:ascii="Garamond" w:hAnsi="Garamond"/>
          <w:color w:val="000000"/>
          <w:sz w:val="22"/>
          <w:szCs w:val="22"/>
        </w:rPr>
        <w:t xml:space="preserve"> y del supervisor del contrato.</w:t>
      </w:r>
    </w:p>
    <w:p w14:paraId="7E19FBC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Recibir por parte del FDLF para el cumplimiento de las obligaciones pactadas sobre las sedes administrativas donde se desarrollen las obras de mantenimiento objeto de este contrato. Tal circunstancia se hará constar en un acta donde se indique el estado de las diferentes áreas de trabajo, las áreas no intervenidas y el estado de estas; dicha acta será suscrita por el </w:t>
      </w:r>
      <w:r w:rsidRPr="00283E81">
        <w:rPr>
          <w:rFonts w:ascii="Garamond" w:hAnsi="Garamond"/>
          <w:sz w:val="22"/>
          <w:szCs w:val="22"/>
        </w:rPr>
        <w:t>Supervisor</w:t>
      </w:r>
      <w:r w:rsidRPr="00283E81">
        <w:rPr>
          <w:rFonts w:ascii="Garamond" w:hAnsi="Garamond"/>
          <w:color w:val="000000"/>
          <w:sz w:val="22"/>
          <w:szCs w:val="22"/>
        </w:rPr>
        <w:t xml:space="preserve"> y el contratista y hará parte integral del presente contrato, junto con los documentos fotográficos en los que conste el estado en que se entrega las sedes administrativas.</w:t>
      </w:r>
    </w:p>
    <w:p w14:paraId="46FF68B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Realizar el diagnóstico definitivo de cada una de las fichas de prediagnóstico suministradas por el FDLF utilizando el recurso solicitado de dibujante, topógrafo, equipo de topografía, componente social y componente ambiental según corresponda</w:t>
      </w:r>
    </w:p>
    <w:p w14:paraId="5D072A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Efectuar los diagnósticos de las sedes administrativas correspondientes a los listados entregados por el FDLF diferentes de las diferentes edificaciones a intervenir en mantenimiento y/o dotación, mediante el presente contrato.</w:t>
      </w:r>
    </w:p>
    <w:p w14:paraId="7D3C8669"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Ejecutar las obras e instalaciones objeto de este contrato a los precios y condiciones señalados en su propuesta, ciñéndose a las normas técnicas nacionales y a rehacer a su expensa cualquier obra que resultare mal ejecutada.</w:t>
      </w:r>
    </w:p>
    <w:p w14:paraId="63F7CC7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 xml:space="preserve">Presentar un cronograma de trabajo: el proponente al que le sea adjudicado la presente </w:t>
      </w:r>
      <w:r w:rsidRPr="00283E81">
        <w:rPr>
          <w:rFonts w:ascii="Garamond" w:hAnsi="Garamond"/>
          <w:sz w:val="22"/>
          <w:szCs w:val="22"/>
        </w:rPr>
        <w:t xml:space="preserve">selección abreviada de menor cuantía </w:t>
      </w:r>
      <w:r w:rsidRPr="00283E81">
        <w:rPr>
          <w:rFonts w:ascii="Garamond" w:hAnsi="Garamond"/>
          <w:color w:val="000000"/>
          <w:sz w:val="22"/>
          <w:szCs w:val="22"/>
        </w:rPr>
        <w:t>deberá presentar una programación de las actividades a desarrollar en las diferentes edificaciones y escenarios de las actividades objeto de este contrato detallado en GANTT o similares, indicando de manera detallada la forma y tiempo calculados para la ejecución de las obras en cada uno de las sedes administrativas a intervenir. El cronograma de trabajo deberá ser entregado al supervisor del contrato en original y en medio magnético dentro de los primeros veinte (20) días hábiles siguientes a la suscripción del contrato.</w:t>
      </w:r>
    </w:p>
    <w:p w14:paraId="41E3C55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Coordinar con el supervisor del contrato las visitas y transporte a las sedes administrativas del objeto del contrato, con el fin de evaluar el estado inicial, el desarrollo de estos, el recibo parcial y final de los trabajos ejecutados.</w:t>
      </w:r>
    </w:p>
    <w:p w14:paraId="7E9591A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Permitir visitas a las obras, al supervisor del contrato.</w:t>
      </w:r>
    </w:p>
    <w:p w14:paraId="1DB06028"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Disponer del personal técnico requerido para desarrollar cada una de las diferentes actividades que involucre el contrato.</w:t>
      </w:r>
    </w:p>
    <w:p w14:paraId="0ED8AFD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Contar con el transporte, utilizar, reparar, conservar y mantener todas las máquinas, equipos, herramientas, repuestos y demás elementos necesarios para la ejecución del objeto contractual, así como su almacenamiento y custodia.</w:t>
      </w:r>
    </w:p>
    <w:p w14:paraId="0F050E9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Responder por la buena calidad de los materiales, insumos y elementos utilizados en el desarrollo del presente contrato.</w:t>
      </w:r>
    </w:p>
    <w:p w14:paraId="07C988B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Transportar, clasificar, almacenar y utilizar todos los materiales necesarios para la ejecución de las obras objeto del presente contrato.</w:t>
      </w:r>
    </w:p>
    <w:p w14:paraId="16879CB8"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Poner en práctica durante la ejecución del objeto contractual y hasta la entrega final, los procedimientos adecuados de construcción y de conservación, para lo cual debe prever y evitar cualquier daño o deterioro que pueda afectar su calidad, estabilidad y acabados.</w:t>
      </w:r>
    </w:p>
    <w:p w14:paraId="7CA43CA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Tomar las debidas precauciones a fin de conservar en perfecto estado los inmuebles aledaños, las estructuras e instalaciones y redes de servicios superficiales o subterráneas existentes dentro del área de trabajo o adyacente a ella, siendo de su exclusiva responsabilidad cualquier daño que pudiere ocasionar a tales inmuebles, estructuras, instalaciones o redes.</w:t>
      </w:r>
    </w:p>
    <w:p w14:paraId="15C06A3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Retirar los materiales sobrantes y entregar la obra en perfecto estado de limpieza.</w:t>
      </w:r>
    </w:p>
    <w:p w14:paraId="5C54BEF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Reparar las vías de acceso, en los lugares de las obras concernientes al contrato, cuando se deterioren como consecuencia de la ejecución de las obras contratadas.</w:t>
      </w:r>
    </w:p>
    <w:p w14:paraId="78DD0303"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Responder frente al FDLF y frente a terceros por todo daño que cause con ocasión de la ejecución del presente contrato.</w:t>
      </w:r>
    </w:p>
    <w:p w14:paraId="5AB252A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Suministrar y colocar una valla de información y cinta de señalización en la obra de acuerdo con el número, tamaño y diseño que le indique el </w:t>
      </w:r>
      <w:r w:rsidRPr="00283E81">
        <w:rPr>
          <w:rFonts w:ascii="Garamond" w:hAnsi="Garamond"/>
          <w:sz w:val="22"/>
          <w:szCs w:val="22"/>
        </w:rPr>
        <w:t>Supervisor</w:t>
      </w:r>
      <w:r w:rsidRPr="00283E81">
        <w:rPr>
          <w:rFonts w:ascii="Garamond" w:hAnsi="Garamond"/>
          <w:color w:val="000000"/>
          <w:sz w:val="22"/>
          <w:szCs w:val="22"/>
        </w:rPr>
        <w:t xml:space="preserve"> en cada frente de trabajo. Los costos correspondientes se entienden incluidos en el valor de la propuesta y será responsabilidad del contratista cualquier </w:t>
      </w:r>
      <w:r w:rsidRPr="00283E81">
        <w:rPr>
          <w:rFonts w:ascii="Garamond" w:hAnsi="Garamond"/>
          <w:color w:val="000000"/>
          <w:sz w:val="22"/>
          <w:szCs w:val="22"/>
        </w:rPr>
        <w:lastRenderedPageBreak/>
        <w:t>daño o accidente que ocurriera por la omisión en el cumplimiento de esta obligación.</w:t>
      </w:r>
    </w:p>
    <w:p w14:paraId="3ABF0A8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Presentar informes y de novedades a que haya lugar, con recomendaciones y sugerencias al </w:t>
      </w:r>
      <w:r w:rsidRPr="00283E81">
        <w:rPr>
          <w:rFonts w:ascii="Garamond" w:hAnsi="Garamond"/>
          <w:sz w:val="22"/>
          <w:szCs w:val="22"/>
        </w:rPr>
        <w:t xml:space="preserve">Supervisor </w:t>
      </w:r>
      <w:r w:rsidRPr="00283E81">
        <w:rPr>
          <w:rFonts w:ascii="Garamond" w:hAnsi="Garamond"/>
          <w:color w:val="000000"/>
          <w:sz w:val="22"/>
          <w:szCs w:val="22"/>
        </w:rPr>
        <w:t>del contrato. Como requisito para los pagos periódicos el contratista se obliga a entregar un informe con cada una de las actividades realizadas, en cumplimiento del contrato.</w:t>
      </w:r>
    </w:p>
    <w:p w14:paraId="280C6B8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Durante la ejecución del contrato se pueden presentar trabajos de mantenimiento y/o reparaciones con ítems no contemplados en el anexo propuesta económica APU, para lo cual el contratista según los precios del mercado presentará al </w:t>
      </w:r>
      <w:r w:rsidRPr="00283E81">
        <w:rPr>
          <w:rFonts w:ascii="Garamond" w:hAnsi="Garamond"/>
          <w:sz w:val="22"/>
          <w:szCs w:val="22"/>
        </w:rPr>
        <w:t xml:space="preserve">Supervisor </w:t>
      </w:r>
      <w:r w:rsidRPr="00283E81">
        <w:rPr>
          <w:rFonts w:ascii="Garamond" w:hAnsi="Garamond"/>
          <w:color w:val="000000"/>
          <w:sz w:val="22"/>
          <w:szCs w:val="22"/>
        </w:rPr>
        <w:t xml:space="preserve">del contrato el correspondiente análisis de los valores de precios unitarios del costo del mantenimiento y/o reparaciones soportadas con cotizaciones de los materiales. El </w:t>
      </w:r>
      <w:r w:rsidRPr="00283E81">
        <w:rPr>
          <w:rFonts w:ascii="Garamond" w:hAnsi="Garamond"/>
          <w:sz w:val="22"/>
          <w:szCs w:val="22"/>
        </w:rPr>
        <w:t>Supervisor</w:t>
      </w:r>
      <w:r w:rsidRPr="00283E81">
        <w:rPr>
          <w:rFonts w:ascii="Garamond" w:hAnsi="Garamond"/>
          <w:color w:val="000000"/>
          <w:sz w:val="22"/>
          <w:szCs w:val="22"/>
        </w:rPr>
        <w:t xml:space="preserve"> revisará, evaluará y si es conveniente dará la orden al contratista, previa aprobación del supervisor del FDLF para ejecutarlas.</w:t>
      </w:r>
    </w:p>
    <w:p w14:paraId="0E25418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Suministrar el personal mínimo requerido, maquinaria y equipo exigido en lo presentes pliegos de condiciones, al igual que el personal administrativo para la respectiva gestión documental para organizar, foliar, legajar y mantener actualizado el archivo del contrato cuando la </w:t>
      </w:r>
      <w:r w:rsidRPr="00283E81">
        <w:rPr>
          <w:rFonts w:ascii="Garamond" w:hAnsi="Garamond"/>
          <w:sz w:val="22"/>
          <w:szCs w:val="22"/>
        </w:rPr>
        <w:t xml:space="preserve">supervisión del FDLF </w:t>
      </w:r>
      <w:r w:rsidRPr="00283E81">
        <w:rPr>
          <w:rFonts w:ascii="Garamond" w:hAnsi="Garamond"/>
          <w:color w:val="000000"/>
          <w:sz w:val="22"/>
          <w:szCs w:val="22"/>
        </w:rPr>
        <w:t>y/o supervisor del contrato lo requiera.</w:t>
      </w:r>
    </w:p>
    <w:p w14:paraId="5646829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Constituir las garantías que se exija en el contrato.</w:t>
      </w:r>
    </w:p>
    <w:p w14:paraId="710609C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Las demás que se requieran para el cumplimiento del objeto del contrato.</w:t>
      </w:r>
    </w:p>
    <w:p w14:paraId="115FBDD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Revisar y tramitar de manera oportuna cada una de las actas y/o documentos necesarios para el desarrollo del contrato proyectados por la </w:t>
      </w:r>
      <w:r w:rsidRPr="00283E81">
        <w:rPr>
          <w:rFonts w:ascii="Garamond" w:hAnsi="Garamond"/>
          <w:sz w:val="22"/>
          <w:szCs w:val="22"/>
        </w:rPr>
        <w:t>supervisión del FDLF</w:t>
      </w:r>
      <w:r w:rsidR="00C45EE4" w:rsidRPr="00283E81">
        <w:rPr>
          <w:rFonts w:ascii="Garamond" w:hAnsi="Garamond"/>
          <w:color w:val="000000"/>
          <w:sz w:val="22"/>
          <w:szCs w:val="22"/>
        </w:rPr>
        <w:t>.</w:t>
      </w:r>
    </w:p>
    <w:p w14:paraId="0926EF8B"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respuesta a los requerimientos relacionados con la ejecución del contrato por parte del FDLF o comunidad se originen dentro de los cinco (5) días hábiles siguientes al recibido de los mismos.</w:t>
      </w:r>
    </w:p>
    <w:p w14:paraId="247293E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Velar por que el FDLF se mantenga indemne de cualquier reclamación de terceras personas, subcontratista y proveedores y demás servicios que de forma indirecta se hayan requeridas para la ejecución del contrato.</w:t>
      </w:r>
    </w:p>
    <w:p w14:paraId="7A37E47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Atender y absolver las observaciones y requerimientos que a través del supervisor delegado por el FDLF realicen las autoridades locales.</w:t>
      </w:r>
    </w:p>
    <w:p w14:paraId="3A8F7A2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un programa de seguridad industrial dentro de los primeros veinte (20) días hábiles siguientes a la suscripción del contrato en el cual incluirá aspectos tales como la señalización de los sitios en los cuales se desarrollan los trabajos y las medidas que tomará para garantizar la seguridad del personal que labore en las actividades de mantenimiento, adicionalmente deberá cumplir con lo establecido en las especificaciones técnicas de los presentes pliegos de condiciones.</w:t>
      </w:r>
    </w:p>
    <w:p w14:paraId="5D4C9D8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un programa de manejo ambiental y de manejo social dentro de los primeros veinte (20) días hábiles siguientes a la suscripción del contrato, los cuales deberá cumplir a lo largo del contrato y deberá presentar informes mensuales de las actividades desarrolladas en cada uno de estos aspectos.</w:t>
      </w:r>
    </w:p>
    <w:p w14:paraId="039CCC2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con los procesos, procedimientos y formatos señalados en el manual de </w:t>
      </w:r>
      <w:r w:rsidRPr="00283E81">
        <w:rPr>
          <w:rFonts w:ascii="Garamond" w:hAnsi="Garamond"/>
          <w:sz w:val="22"/>
          <w:szCs w:val="22"/>
        </w:rPr>
        <w:t xml:space="preserve">supervisión del FDLF </w:t>
      </w:r>
      <w:r w:rsidRPr="00283E81">
        <w:rPr>
          <w:rFonts w:ascii="Garamond" w:hAnsi="Garamond"/>
          <w:color w:val="000000"/>
          <w:sz w:val="22"/>
          <w:szCs w:val="22"/>
        </w:rPr>
        <w:t>de la Secretaría Distrital de Gobierno.</w:t>
      </w:r>
    </w:p>
    <w:p w14:paraId="5370DA7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Elaborar un plan de calidad dentro de los primeros veinte (20) días hábiles siguientes a la suscripción del contrato para las obras a realizar, para materiales mano de obra, equipos, ensayos de laboratorio y cumplimiento de especificaciones técnicas. Deberán utilizarse materiales que tengan sello de producto o certificado de calidad que garantice el cumplimiento de la especificación.</w:t>
      </w:r>
    </w:p>
    <w:p w14:paraId="3787DA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Presentar en el plan de inspección ensayos que hace parte del plan de calidad, el cual debe ser aprobado por la </w:t>
      </w:r>
      <w:r w:rsidRPr="00283E81">
        <w:rPr>
          <w:rFonts w:ascii="Garamond" w:hAnsi="Garamond"/>
          <w:sz w:val="22"/>
          <w:szCs w:val="22"/>
        </w:rPr>
        <w:t xml:space="preserve">supervisión del FDLF </w:t>
      </w:r>
      <w:r w:rsidRPr="00283E81">
        <w:rPr>
          <w:rFonts w:ascii="Garamond" w:hAnsi="Garamond"/>
          <w:color w:val="000000"/>
          <w:sz w:val="22"/>
          <w:szCs w:val="22"/>
        </w:rPr>
        <w:t>del contrato y el supervisor, los ensayos de laboratorio que sean necesarios realizar a lo largo del contrato.</w:t>
      </w:r>
    </w:p>
    <w:p w14:paraId="39AC32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Dar cumplimiento a toda la normatividad ambiental aplicable entre ellas el Decreto 586 de 2015, la Resolución 0932 de 2015, la Resolución 00715 del 30 de mayo de 2013 y la Resolución </w:t>
      </w:r>
      <w:proofErr w:type="spellStart"/>
      <w:r w:rsidRPr="00283E81">
        <w:rPr>
          <w:rFonts w:ascii="Garamond" w:hAnsi="Garamond"/>
          <w:color w:val="000000"/>
          <w:sz w:val="22"/>
          <w:szCs w:val="22"/>
        </w:rPr>
        <w:t>N°</w:t>
      </w:r>
      <w:proofErr w:type="spellEnd"/>
      <w:r w:rsidRPr="00283E81">
        <w:rPr>
          <w:rFonts w:ascii="Garamond" w:hAnsi="Garamond"/>
          <w:color w:val="000000"/>
          <w:sz w:val="22"/>
          <w:szCs w:val="22"/>
        </w:rPr>
        <w:t xml:space="preserve"> 01115 del 26 de septiembre del 2012 y todas aquellas que los modifiquen o sustituyan.</w:t>
      </w:r>
    </w:p>
    <w:p w14:paraId="2D72665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el Plan de Gestión Integral de Residuos de Construcción y Demolición (RCD) dentro de los primeros veinte (20) días hábiles siguientes a la suscripción del contrato de acuerdo con los lineamientos técnico-ambientales establecidos en las resoluciones 1115 de 2012 y 932 de 2015, el contenido de dicho plan se enfoca en el manejo integral de los residuos generados en obra (acopio temporal, aprovechamiento y disposición final). Los recursos económicos que se generen del aprovechamiento de residuos dispuestos en sitios de reutilización y /o reciclaje y/o aprovechamiento, deberán ser reinvertidos en la ejecución del contrato.</w:t>
      </w:r>
    </w:p>
    <w:p w14:paraId="201B4C8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plan deberá ser presentado al Referente PIGA del FDLF dentro de los 5 días hábiles posterior a la firma del acta de inicio para la creación del PIN ante la Secretaría Distrital de Ambiente.</w:t>
      </w:r>
    </w:p>
    <w:p w14:paraId="3A13146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Junto con el Plan de Gestión Integral de RCD se deberá presentar el Formato de Registro de RCD diligenciado, El formato se debe solicitar al Referente PIGA.</w:t>
      </w:r>
    </w:p>
    <w:p w14:paraId="7B839EF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el contratista reportar al Referente PIGA el Formato Reporte RCD con las cantidades de RCD generadas, de material aprovechado y disposición final, además de los anexos 2 y 3 establecidos por la Resolución 932 de 2015 y sus soportes respectivos, para ser subidos a la plataforma STORM de la SDA.</w:t>
      </w:r>
    </w:p>
    <w:p w14:paraId="2F95C497"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junto con el Formato Reporte RCD se deberá reportar al Referente PIGA copia digital de los certificados de disposición final y/o aprovechamiento y los PIN de las volquetas que realizan el transporte de estos residuos, así como los demás formatos establecidos por la autoridad ambiental.</w:t>
      </w:r>
    </w:p>
    <w:p w14:paraId="1627D4A1" w14:textId="6882A6D4"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se deberá reportar al referente PIGA los indicadores de seguimiento de gestión de RCD establecidos en la Resolución 932 de 2015, para ser subidos a la plataforma STORM de la SDA</w:t>
      </w:r>
      <w:r w:rsidR="00C45EE4" w:rsidRPr="00283E81">
        <w:rPr>
          <w:rFonts w:ascii="Garamond" w:hAnsi="Garamond"/>
          <w:color w:val="000000"/>
          <w:sz w:val="22"/>
          <w:szCs w:val="22"/>
        </w:rPr>
        <w:t>.</w:t>
      </w:r>
    </w:p>
    <w:p w14:paraId="132B1E9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Se deberá entregar copia digital del documento de habilitación de operación o el que haga sus veces de las escombreras o sitios de disposición final, entregado para tal fin por la autoridad ambiental competente en el territorio.</w:t>
      </w:r>
    </w:p>
    <w:p w14:paraId="34849059"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cumplimiento a los demás criterios ambientales que sean establecidos por la Guía de Contratación Sostenible de la Secretaría Distrital de Gobierno y/o la que haga sus veces.</w:t>
      </w:r>
    </w:p>
    <w:p w14:paraId="40F7087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Se debe propender por materiales que sean menos contaminantes y/o con menores efectos sobre el medio ambiente y el ser humano. Las fichas técnicas de los productos deberán ser entregadas al responsable ambiental como medio de verificación.</w:t>
      </w:r>
    </w:p>
    <w:p w14:paraId="1FD5E9C3"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En la pintura se preferirá aquella que tenga menos efectos nocivos sobre el medio ambiente y a la salud. Se deberá entregar la certificación correspondiente y la ficha técnica como medio de verificación.</w:t>
      </w:r>
    </w:p>
    <w:p w14:paraId="0C845F6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estrictamente todas las obligaciones establecidas en la ley 100 de 1993, sus decretos reglamentarios y la ley 789 de 2002. También deberá suministrar al </w:t>
      </w:r>
      <w:r w:rsidRPr="00283E81">
        <w:rPr>
          <w:rFonts w:ascii="Garamond" w:hAnsi="Garamond"/>
          <w:sz w:val="22"/>
          <w:szCs w:val="22"/>
        </w:rPr>
        <w:t>Supervisor</w:t>
      </w:r>
      <w:r w:rsidRPr="00283E81">
        <w:rPr>
          <w:rFonts w:ascii="Garamond" w:hAnsi="Garamond"/>
          <w:color w:val="000000"/>
          <w:sz w:val="22"/>
          <w:szCs w:val="22"/>
        </w:rPr>
        <w:t xml:space="preserve"> la información que éste requiera al respecto.</w:t>
      </w:r>
    </w:p>
    <w:p w14:paraId="2CFD3B3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Suscribir una carta de compromiso para el cumplimiento de las normas vigentes de imagen corporativa del Distrito Capital.</w:t>
      </w:r>
    </w:p>
    <w:p w14:paraId="33A19D8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contratista deberá presentar, dentro de los cinco (5) días hábiles siguientes a la adjudicación, un programa de seguridad industrial en el cual incluirá aspectos tales como la señalización de los sitios en los cuales se desarrollan los trabajos y las medidas que tomará para garantizar la seguridad del personal que labore en las actividades de mantenimiento, adicionalmente deberá cumplir con lo establecido en las especificaciones técnicas de los presentes pliegos de condiciones.</w:t>
      </w:r>
    </w:p>
    <w:p w14:paraId="0C8FE1B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Tramitar las licencias y permisos Distritales necesarios para la ejecución de las obras contratadas como Planes de Manejo de Tráfico.</w:t>
      </w:r>
    </w:p>
    <w:p w14:paraId="14D5D2D3" w14:textId="127779FF" w:rsidR="00377CA7"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estrictamente todas las obligaciones establecidas en la NORMATIVA TÉCNICA DE GAS NATURAL S.A. ESP. No. NT-061-ESP REV. 1 PLAN DE PREVENCIÓN DE DAÑOS.</w:t>
      </w:r>
    </w:p>
    <w:p w14:paraId="6A059DC6"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482ACD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1: </w:t>
      </w:r>
      <w:r w:rsidRPr="00283E81">
        <w:rPr>
          <w:rFonts w:ascii="Garamond" w:hAnsi="Garamond"/>
          <w:color w:val="000000"/>
          <w:sz w:val="22"/>
          <w:szCs w:val="22"/>
        </w:rPr>
        <w:t>Una vez adjudicado el contrato, el contratista asume la responsabilidad de realizar los diagnósticos definitivos, todo lo cual debe ser conocido y aprobado por el Fondo de Desarrollo Local de Fontibón – FDLF. </w:t>
      </w:r>
    </w:p>
    <w:p w14:paraId="542C996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E04F4C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2: </w:t>
      </w:r>
      <w:r w:rsidRPr="00283E81">
        <w:rPr>
          <w:rFonts w:ascii="Garamond" w:hAnsi="Garamond"/>
          <w:color w:val="000000"/>
          <w:sz w:val="22"/>
          <w:szCs w:val="22"/>
        </w:rPr>
        <w:t>El Contratista está obligado a presentar para evaluación y aprobación del diagnóstico, presupuestos completos con los APU, programaciones y planes de Calidad para Manejo Integral de la obra, la calidad y funcionalidad de los entregables del diagnóstico será responsabilidad exclusiva del contratista y será causal de incumplimiento la no verificación de las condiciones técnicas, ambientales, de salubridad, de acuerdo con la función específica del espacio.</w:t>
      </w:r>
    </w:p>
    <w:p w14:paraId="2F2F6EA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9B3E56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3: </w:t>
      </w:r>
      <w:r w:rsidRPr="00283E81">
        <w:rPr>
          <w:rFonts w:ascii="Garamond" w:hAnsi="Garamond"/>
          <w:color w:val="000000"/>
          <w:sz w:val="22"/>
          <w:szCs w:val="22"/>
        </w:rPr>
        <w:t>Las obras que se establezcan no podrán ser iniciadas hasta que la supervisión emita la aprobación del diagnóstico.</w:t>
      </w:r>
    </w:p>
    <w:p w14:paraId="1573EB1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B0DDEC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4: </w:t>
      </w:r>
      <w:r w:rsidRPr="00283E81">
        <w:rPr>
          <w:rFonts w:ascii="Garamond" w:hAnsi="Garamond"/>
          <w:color w:val="000000"/>
          <w:sz w:val="22"/>
          <w:szCs w:val="22"/>
        </w:rPr>
        <w:t>en la etapa de diagnóstico el contratista deberá realizar la verificación de las actividades a ejecutar e incluir las necesarias (actividades o cantidades) para poder ejecutar a satisfacción el objeto del contrato.</w:t>
      </w:r>
    </w:p>
    <w:p w14:paraId="7E28CFA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EB27B66"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5: </w:t>
      </w:r>
      <w:r w:rsidRPr="00283E81">
        <w:rPr>
          <w:rFonts w:ascii="Garamond" w:hAnsi="Garamond"/>
          <w:color w:val="000000"/>
          <w:sz w:val="22"/>
          <w:szCs w:val="22"/>
        </w:rPr>
        <w:t>El diagnóstico puede incluir las mismas o nuevas actividades que no están incluidas en el alcance, lo anterior a que las unidades operativas están en constante funcionamiento y la variación en caso de que exista corresponde al uso y desuso de la unidad operativa.</w:t>
      </w:r>
    </w:p>
    <w:p w14:paraId="2034FA8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B7B09D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lastRenderedPageBreak/>
        <w:t>Aprobación de cronograma y plan de trabajo</w:t>
      </w:r>
    </w:p>
    <w:p w14:paraId="60C774DC" w14:textId="77777777" w:rsidR="00377CA7" w:rsidRPr="00283E81" w:rsidRDefault="00377CA7" w:rsidP="003400E2">
      <w:pPr>
        <w:numPr>
          <w:ilvl w:val="0"/>
          <w:numId w:val="58"/>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Dentro del plan de trabajo el contratista deberá presentar una programación de obra ajustada a la fecha de aprobación del acta de inicio. Esta deberá contener cada una de las actividades descritas en el presupuesto definitivo concertado con todos los actores inherentes como </w:t>
      </w:r>
      <w:r w:rsidRPr="00283E81">
        <w:rPr>
          <w:rFonts w:ascii="Garamond" w:hAnsi="Garamond"/>
          <w:sz w:val="22"/>
          <w:szCs w:val="22"/>
        </w:rPr>
        <w:t xml:space="preserve">presupuesto definitivo </w:t>
      </w:r>
      <w:r w:rsidRPr="00283E81">
        <w:rPr>
          <w:rFonts w:ascii="Garamond" w:hAnsi="Garamond"/>
          <w:color w:val="000000"/>
          <w:sz w:val="22"/>
          <w:szCs w:val="22"/>
        </w:rPr>
        <w:t>y aprobado por la supervisión del FDLF designada para el contrato de obra, como quiera que es producto entregable de la etapa de diagnósticos.</w:t>
      </w:r>
    </w:p>
    <w:p w14:paraId="5EDB17DA" w14:textId="3EF13ED3" w:rsidR="00377CA7" w:rsidRPr="00283E81" w:rsidRDefault="00377CA7" w:rsidP="72D4DDC5">
      <w:pPr>
        <w:pBdr>
          <w:top w:val="nil"/>
          <w:left w:val="nil"/>
          <w:bottom w:val="nil"/>
          <w:right w:val="nil"/>
          <w:between w:val="nil"/>
        </w:pBdr>
        <w:jc w:val="both"/>
        <w:rPr>
          <w:rFonts w:ascii="Garamond" w:hAnsi="Garamond"/>
          <w:sz w:val="22"/>
          <w:szCs w:val="22"/>
        </w:rPr>
      </w:pPr>
    </w:p>
    <w:p w14:paraId="162EF0AC" w14:textId="77777777" w:rsidR="00377CA7" w:rsidRPr="00283E81" w:rsidRDefault="00377CA7" w:rsidP="003400E2">
      <w:pPr>
        <w:numPr>
          <w:ilvl w:val="0"/>
          <w:numId w:val="5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 programación de las obras deberá hacerse garantizando la mayor eficiencia en el manejo de los tiempos, el cumplimiento de la totalidad de la obra y la calidad de ésta (para efectos de la minimización del servicio)</w:t>
      </w:r>
    </w:p>
    <w:p w14:paraId="21D3AE3C" w14:textId="77777777" w:rsidR="00377CA7" w:rsidRPr="00283E81" w:rsidRDefault="00377CA7" w:rsidP="003400E2">
      <w:pPr>
        <w:numPr>
          <w:ilvl w:val="0"/>
          <w:numId w:val="5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 contratista deberá presentar dentro del plan de trabajo una relación del personal que dispondrá para el desarrollo de las obras a ejecutar desde el inicio hasta el final de la obra.</w:t>
      </w:r>
    </w:p>
    <w:p w14:paraId="50CFECA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B13FE91" w14:textId="3F52D5C2" w:rsidR="00377CA7" w:rsidRPr="00283E81" w:rsidRDefault="00377CA7" w:rsidP="72D4DDC5">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La </w:t>
      </w:r>
      <w:r w:rsidRPr="00283E81">
        <w:rPr>
          <w:rFonts w:ascii="Garamond" w:hAnsi="Garamond"/>
          <w:sz w:val="22"/>
          <w:szCs w:val="22"/>
        </w:rPr>
        <w:t>supervisión del FDLF</w:t>
      </w:r>
      <w:r w:rsidRPr="00283E81">
        <w:rPr>
          <w:rFonts w:ascii="Garamond" w:hAnsi="Garamond"/>
          <w:color w:val="000000" w:themeColor="text1"/>
          <w:sz w:val="22"/>
          <w:szCs w:val="22"/>
        </w:rPr>
        <w:t xml:space="preserve"> emitirá un documento declarando la aprobación del diagnóstico y dando autorización para el inicio de las actividades con los ítems aprobados en comité.</w:t>
      </w:r>
    </w:p>
    <w:p w14:paraId="3919DB6A" w14:textId="24AB7FF3"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 xml:space="preserve">9.6 OBLIGACIONES DE LA SECRETARÍA DISTRITAL DE GOBIERNO/EL FONDO DE DESARROLLO </w:t>
      </w:r>
      <w:r w:rsidR="00C45EE4" w:rsidRPr="00283E81">
        <w:rPr>
          <w:rFonts w:ascii="Garamond" w:hAnsi="Garamond"/>
          <w:b/>
          <w:color w:val="000000"/>
          <w:sz w:val="22"/>
          <w:szCs w:val="22"/>
        </w:rPr>
        <w:t>LOCAL</w:t>
      </w:r>
    </w:p>
    <w:p w14:paraId="30034A1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65F6BFB"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con las condiciones establecidas en los Documentos del Proceso de Contratación.</w:t>
      </w:r>
    </w:p>
    <w:p w14:paraId="261365ED"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Fijar un Cronograma con el Contratista para la ejecución del factor de calidad ofrecido en la etapa de selección que permita su implementación oportuna durante el desarrollo del contrato.</w:t>
      </w:r>
    </w:p>
    <w:p w14:paraId="48D3244B"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Fijar un Cronograma con el Contratista para la ejecución del factor de sostenibilidad técnico ambiental ofrecido en la etapa de selección que permita su implementación oportuna durante el desarrollo del Contrato.</w:t>
      </w:r>
    </w:p>
    <w:p w14:paraId="51E6A960"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Pagar la remuneración por la ejecución de la obra en los términos pactados en la Cláusula 8 del Contrato.</w:t>
      </w:r>
    </w:p>
    <w:p w14:paraId="49D21EC3"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a través del supervisor la correcta ejecución del objeto contratado.</w:t>
      </w:r>
    </w:p>
    <w:p w14:paraId="3162F521"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Suministrar oportunamente la información, herramientas y apoyo logístico que se requiera para el cumplimiento de las obligaciones contractuales.</w:t>
      </w:r>
    </w:p>
    <w:p w14:paraId="01A89AB3"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Pagar el valor del contrato en las condiciones pactadas. </w:t>
      </w:r>
    </w:p>
    <w:p w14:paraId="2A502E0A"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que el contratista realice el pago de aportes al sistema de seguridad social integral, parafiscales, ICBF, SENA y cajas de compensación familiar (cuando a ello haya lugar), en las condiciones establecidas por la normatividad vigente.</w:t>
      </w:r>
    </w:p>
    <w:p w14:paraId="5CD2B13E"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a través del supervisor del contrato, que el contratista dé cumplimiento a las condiciones establecidas en la Directiva 01 de 2011 relacionada con la inclusión económica de las personas vulnerables, marginadas y/o excluidas de la dinámica productiva de la ciudad (cuando haya lugar). </w:t>
      </w:r>
    </w:p>
    <w:p w14:paraId="26101396" w14:textId="7BF40E3A" w:rsidR="00377CA7"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Las demás establecidas en la normatividad vigente.</w:t>
      </w:r>
    </w:p>
    <w:p w14:paraId="51CC2AD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0949A01"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9.7 SUPERVISIÓN</w:t>
      </w:r>
    </w:p>
    <w:p w14:paraId="7FE4E3A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0AFEDFA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Con el fin de proteger la moralidad administrativa, de prevenir la ocurrencia de actos de corrupción y de tutelar la transparencia de la actividad contractual, EL FONDO vigilará permanentemente la correcta ejecución del objeto contratado a través de una </w:t>
      </w:r>
      <w:r w:rsidRPr="00283E81">
        <w:rPr>
          <w:rFonts w:ascii="Garamond" w:hAnsi="Garamond"/>
          <w:sz w:val="22"/>
          <w:szCs w:val="22"/>
        </w:rPr>
        <w:t>supervisión del FDLF</w:t>
      </w:r>
      <w:r w:rsidRPr="00283E81">
        <w:rPr>
          <w:rFonts w:ascii="Garamond" w:hAnsi="Garamond"/>
          <w:color w:val="000000"/>
          <w:sz w:val="22"/>
          <w:szCs w:val="22"/>
        </w:rPr>
        <w:t>.</w:t>
      </w:r>
    </w:p>
    <w:p w14:paraId="6ED6DCE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3E5CF4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w:t>
      </w:r>
      <w:r w:rsidRPr="00283E81">
        <w:rPr>
          <w:rFonts w:ascii="Garamond" w:hAnsi="Garamond"/>
          <w:sz w:val="22"/>
          <w:szCs w:val="22"/>
        </w:rPr>
        <w:t xml:space="preserve">supervisión del FDLF </w:t>
      </w:r>
      <w:r w:rsidRPr="00283E81">
        <w:rPr>
          <w:rFonts w:ascii="Garamond" w:hAnsi="Garamond"/>
          <w:color w:val="000000"/>
          <w:sz w:val="22"/>
          <w:szCs w:val="22"/>
        </w:rPr>
        <w:t>se sujetarán a lo dispuesto en el numeral 1° del artículo 26 de la Ley 80 de 1993, artículo 83 Ley 1474 de 2011 y demás normas que regulen la materia, así como en el Manual de Contratación y el Manual de Supervisión de la Secretaría de Gobierno. Para tal fin deberá cumplir con las facultades y deberes establecidos en la referida ley y las demás normas concordantes vigentes.</w:t>
      </w:r>
    </w:p>
    <w:p w14:paraId="624DC1B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C0D6B0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Alcalde(</w:t>
      </w:r>
      <w:proofErr w:type="spellStart"/>
      <w:r w:rsidRPr="00283E81">
        <w:rPr>
          <w:rFonts w:ascii="Garamond" w:hAnsi="Garamond"/>
          <w:color w:val="000000"/>
          <w:sz w:val="22"/>
          <w:szCs w:val="22"/>
        </w:rPr>
        <w:t>sa</w:t>
      </w:r>
      <w:proofErr w:type="spellEnd"/>
      <w:r w:rsidRPr="00283E81">
        <w:rPr>
          <w:rFonts w:ascii="Garamond" w:hAnsi="Garamond"/>
          <w:color w:val="000000"/>
          <w:sz w:val="22"/>
          <w:szCs w:val="22"/>
        </w:rPr>
        <w:t>) Local, podrá designar mediante comunicación escrita un servidor Público que se denominara “apoyo a la supervisión” y que tendrá como función apoyar a este en la supervisión en la ejecución de las obligaciones contractuales que se deriven del contrato. En ningún caso el supervisor del contrato podrá delegar la supervisión de contrato en un tercero.  </w:t>
      </w:r>
    </w:p>
    <w:p w14:paraId="09D0252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12DAD0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Entre las principales funciones principales del Supervisor y apoyo a la supervisión, están las siguientes:</w:t>
      </w:r>
    </w:p>
    <w:p w14:paraId="20528117" w14:textId="1628E175"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82F09A7"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Expedir constancia oportuna sobre el cumplimiento de las obligaciones de EL CONTRATISTA, para efectos de realizar el pago del contrato.</w:t>
      </w:r>
    </w:p>
    <w:p w14:paraId="5F920B48"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Informar oportunamente sobre el incumplimiento de cualquiera de las obligaciones contractuales.</w:t>
      </w:r>
    </w:p>
    <w:p w14:paraId="00C7AB2B"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Certificar la ejecución del contrato dentro de las condiciones exigidas, lo cual es requisito para efectuar los pagos.</w:t>
      </w:r>
    </w:p>
    <w:p w14:paraId="06FE3437"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Elaborar las actas respectivas.</w:t>
      </w:r>
    </w:p>
    <w:p w14:paraId="6125E02C"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Vigilar que se mantenga vigente la póliza que ampara el contrato, y exigir su renovación, restablecimiento y actualización en el evento de presentarse modificaciones en el valor del contrato, su plazo o en virtud de la aplicación de multas, sanciones y demás vicisitudes.</w:t>
      </w:r>
    </w:p>
    <w:p w14:paraId="0515D430"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Exigir el pago efectuado por EL CONTRATISTA por concepto de salud, pensiones, y riesgos laborales, de acuerdo con lo exigido en el parágrafo 1 del artículo 23 de la ley 1150 de 2007, ley 1562 de 2012, ley 1607 de 2012 y demás normas que regulen la materia.</w:t>
      </w:r>
    </w:p>
    <w:p w14:paraId="3179E94A"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Dar cumplimiento al Manual de Contratación, Supervisión</w:t>
      </w:r>
      <w:r w:rsidRPr="00283E81">
        <w:rPr>
          <w:rFonts w:ascii="Garamond" w:hAnsi="Garamond"/>
          <w:sz w:val="22"/>
          <w:szCs w:val="22"/>
        </w:rPr>
        <w:t xml:space="preserve"> </w:t>
      </w:r>
      <w:r w:rsidRPr="00283E81">
        <w:rPr>
          <w:rFonts w:ascii="Garamond" w:hAnsi="Garamond"/>
          <w:color w:val="000000"/>
          <w:sz w:val="22"/>
          <w:szCs w:val="22"/>
        </w:rPr>
        <w:t>de la Secretaría Distrital de Gobierno y/o Alcaldía Local de Fontibón.</w:t>
      </w:r>
    </w:p>
    <w:p w14:paraId="2CF78A0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F77400E"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Nota 1</w:t>
      </w:r>
      <w:r w:rsidRPr="00283E81">
        <w:rPr>
          <w:rFonts w:ascii="Garamond" w:hAnsi="Garamond"/>
          <w:color w:val="000000"/>
          <w:sz w:val="22"/>
          <w:szCs w:val="22"/>
        </w:rPr>
        <w:t>: En ningún caso podrá el Supervisor o Apoyo a la Supervisión exonerar al contratista del cumplimiento o responsabilidad derivada de las obligaciones adquiridas contractualmente o por disposición legal, ni tampoco, modificar los términos del presente contrato.</w:t>
      </w:r>
    </w:p>
    <w:p w14:paraId="0CE1293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4F5D09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Nota 2</w:t>
      </w:r>
      <w:r w:rsidRPr="00283E81">
        <w:rPr>
          <w:rFonts w:ascii="Garamond" w:hAnsi="Garamond"/>
          <w:color w:val="000000"/>
          <w:sz w:val="22"/>
          <w:szCs w:val="22"/>
        </w:rPr>
        <w:t xml:space="preserve">: Toda orden o instrucción que imparta el Supervisor o Apoyo a la Supervisión deberá constar por </w:t>
      </w:r>
      <w:r w:rsidRPr="00283E81">
        <w:rPr>
          <w:rFonts w:ascii="Garamond" w:hAnsi="Garamond"/>
          <w:color w:val="000000"/>
          <w:sz w:val="22"/>
          <w:szCs w:val="22"/>
        </w:rPr>
        <w:lastRenderedPageBreak/>
        <w:t>escrito.</w:t>
      </w:r>
    </w:p>
    <w:p w14:paraId="554FBC2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6EF2A7DE"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VIGILANCIA DE LOS TRABAJOS (</w:t>
      </w:r>
      <w:r w:rsidRPr="00283E81">
        <w:rPr>
          <w:rFonts w:ascii="Garamond" w:hAnsi="Garamond"/>
          <w:b/>
          <w:sz w:val="22"/>
          <w:szCs w:val="22"/>
        </w:rPr>
        <w:t>SUPERVISIÓN DEL FDLF</w:t>
      </w:r>
      <w:r w:rsidRPr="00283E81">
        <w:rPr>
          <w:rFonts w:ascii="Garamond" w:hAnsi="Garamond"/>
          <w:b/>
          <w:color w:val="000000"/>
          <w:sz w:val="22"/>
          <w:szCs w:val="22"/>
        </w:rPr>
        <w:t>). </w:t>
      </w:r>
    </w:p>
    <w:p w14:paraId="6E1EDF3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1662CA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coordinación, vigilancia de la ejecución y cumplimiento del contrato serán ejercidas por un </w:t>
      </w:r>
      <w:r w:rsidRPr="00283E81">
        <w:rPr>
          <w:rFonts w:ascii="Garamond" w:hAnsi="Garamond"/>
          <w:sz w:val="22"/>
          <w:szCs w:val="22"/>
        </w:rPr>
        <w:t>Supervisor</w:t>
      </w:r>
      <w:r w:rsidRPr="00283E81">
        <w:rPr>
          <w:rFonts w:ascii="Garamond" w:hAnsi="Garamond"/>
          <w:color w:val="000000"/>
          <w:sz w:val="22"/>
          <w:szCs w:val="22"/>
        </w:rPr>
        <w:t xml:space="preserve">, quien representará al FDLF (Fondo De Desarrollo Local de Fontibón) ante el Contratista. El </w:t>
      </w:r>
      <w:r w:rsidRPr="00283E81">
        <w:rPr>
          <w:rFonts w:ascii="Garamond" w:hAnsi="Garamond"/>
          <w:sz w:val="22"/>
          <w:szCs w:val="22"/>
        </w:rPr>
        <w:t>Supervisor</w:t>
      </w:r>
      <w:r w:rsidRPr="00283E81">
        <w:rPr>
          <w:rFonts w:ascii="Garamond" w:hAnsi="Garamond"/>
          <w:color w:val="000000"/>
          <w:sz w:val="22"/>
          <w:szCs w:val="22"/>
        </w:rPr>
        <w:t xml:space="preserve"> está autorizado para impartir instrucciones u órdenes al Contratista sobre asuntos de responsabilidad de éste, revisar los libros de contabilidad y exigirle la información que considere necesaria y el Contratista estará obligado a </w:t>
      </w:r>
      <w:r w:rsidRPr="00283E81">
        <w:rPr>
          <w:rFonts w:ascii="Garamond" w:hAnsi="Garamond"/>
          <w:sz w:val="22"/>
          <w:szCs w:val="22"/>
        </w:rPr>
        <w:t>suministrar dentro</w:t>
      </w:r>
      <w:r w:rsidRPr="00283E81">
        <w:rPr>
          <w:rFonts w:ascii="Garamond" w:hAnsi="Garamond"/>
          <w:color w:val="000000"/>
          <w:sz w:val="22"/>
          <w:szCs w:val="22"/>
        </w:rPr>
        <w:t xml:space="preserve"> de los términos del contrato, excepto lo que expresamente se estipule. El </w:t>
      </w:r>
      <w:r w:rsidRPr="00283E81">
        <w:rPr>
          <w:rFonts w:ascii="Garamond" w:hAnsi="Garamond"/>
          <w:sz w:val="22"/>
          <w:szCs w:val="22"/>
        </w:rPr>
        <w:t>Supervisor</w:t>
      </w:r>
      <w:r w:rsidRPr="00283E81">
        <w:rPr>
          <w:rFonts w:ascii="Garamond" w:hAnsi="Garamond"/>
          <w:color w:val="000000"/>
          <w:sz w:val="22"/>
          <w:szCs w:val="22"/>
        </w:rPr>
        <w:t xml:space="preserve"> no tendrá autorización para exonerar al Contratista de ninguna de sus obligaciones o deberes contractuales. Tampoco podrá, sin ninguna autorización escrita previa del FDLF (Fondo De Desarrollo Local De Fontibón) ordenar trabajo alguno que traiga consigo aumento en el plazo o en el valor del contrato, ni efectuar ninguna modificación de la concepción del diseño de las obras principales. Todas las comunicaciones u órdenes del </w:t>
      </w:r>
      <w:r w:rsidRPr="00283E81">
        <w:rPr>
          <w:rFonts w:ascii="Garamond" w:hAnsi="Garamond"/>
          <w:sz w:val="22"/>
          <w:szCs w:val="22"/>
        </w:rPr>
        <w:t>Supervisor</w:t>
      </w:r>
      <w:r w:rsidRPr="00283E81">
        <w:rPr>
          <w:rFonts w:ascii="Garamond" w:hAnsi="Garamond"/>
          <w:color w:val="000000"/>
          <w:sz w:val="22"/>
          <w:szCs w:val="22"/>
        </w:rPr>
        <w:t xml:space="preserve"> serán expedidas o ratificadas por escrito.</w:t>
      </w:r>
    </w:p>
    <w:p w14:paraId="37CBDD42" w14:textId="69E7E2BE"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2F3F79B"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9.8 FORMATOS DE LA PROPUESTA (ANEXO). </w:t>
      </w:r>
    </w:p>
    <w:p w14:paraId="046ECBD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98F3C2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9.8.1 CONDICIONES PARA LA ELABORACIÓN DE LA PROPUESTA ECONÓMICA</w:t>
      </w:r>
    </w:p>
    <w:p w14:paraId="77040C84"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1612E6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 forma de pago será a precios unitarios y a monto agotable.</w:t>
      </w:r>
    </w:p>
    <w:p w14:paraId="383EB27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852236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Para calificar este factor se tendrá en cuenta el valor total indicado en la propuesta económica o el obtenido de la corrección aritmética. La propuesta económica deberá ser allegada en el Sobre No. 2 y firmada.</w:t>
      </w:r>
    </w:p>
    <w:p w14:paraId="6223FC0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98896CD"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valor de la propuesta económica debe presentarse en pesos colombianos y contemplar todos los costos directos e indirectos para la completa y adecuada ejecución de la obra del presente proceso, los riesgos y la administración de estos.</w:t>
      </w:r>
    </w:p>
    <w:p w14:paraId="280DEC6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933BCAF"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 formular la oferta, el proponente acepta que estarán a su cargo todos los impuestos, tasas y contribuciones establecidos por las diferentes autoridades nacionales, departamentales o municipales y dentro de estos mismos niveles territoriales, los impuestos, tasas y contribuciones establecidos por las diferentes autoridades.</w:t>
      </w:r>
    </w:p>
    <w:p w14:paraId="10DA4A1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157FC0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estimativos técnicos que hagan los proponentes para la presentación de sus ofertas deben tener en cuenta que la ejecución del contrato se regirá íntegramente por lo previsto en los documentos del proceso y que en sus cálculos económicos deben incluir todos los aspectos y requerimientos necesarios para cumplir con todas las obligaciones contractuales y asumir los riesgos previstos en dichos documentos.</w:t>
      </w:r>
    </w:p>
    <w:p w14:paraId="476CD64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5649EE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 los Proponente hacerlos conocer dentro del plazo establecido en el Anexo 2 - Cronograma para la presentación de observaciones al proyecto de pliego de condiciones para que la Entidad los pueda estudiar.</w:t>
      </w:r>
    </w:p>
    <w:p w14:paraId="7030161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FCBA5C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Las retenciones que realiza el Fondo de Desarrollo Local de Fontibón son las siguientes:</w:t>
      </w:r>
    </w:p>
    <w:p w14:paraId="42A48DA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4381"/>
        <w:gridCol w:w="5222"/>
      </w:tblGrid>
      <w:tr w:rsidR="00377CA7" w:rsidRPr="00283E81" w14:paraId="5A53F209"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DDB13F6"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CONTRIBUCIÓN ESPECIAL (Ley 1738 18/12/2014)</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99AB79"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5% del valor total del contrato.</w:t>
            </w:r>
          </w:p>
        </w:tc>
      </w:tr>
      <w:tr w:rsidR="00377CA7" w:rsidRPr="00283E81" w14:paraId="72BAB347"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791C22"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 ICA</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392E85"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0.69% del valor total del contrato.</w:t>
            </w:r>
          </w:p>
        </w:tc>
      </w:tr>
      <w:tr w:rsidR="00377CA7" w:rsidRPr="00283E81" w14:paraId="43B5F217"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F7C9A82"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RETEFUENTE OBRA (DUR 1625 Art. 1.2.4.9.1)</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A4066D5"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2% del valor de las obras más costos indirecto más costos de insumos y actividades para manejo ambiental-</w:t>
            </w:r>
            <w:proofErr w:type="spellStart"/>
            <w:r w:rsidRPr="00283E81">
              <w:rPr>
                <w:rFonts w:ascii="Garamond" w:hAnsi="Garamond"/>
                <w:color w:val="000000"/>
                <w:sz w:val="22"/>
                <w:szCs w:val="22"/>
              </w:rPr>
              <w:t>sst</w:t>
            </w:r>
            <w:proofErr w:type="spellEnd"/>
            <w:r w:rsidRPr="00283E81">
              <w:rPr>
                <w:rFonts w:ascii="Garamond" w:hAnsi="Garamond"/>
                <w:color w:val="000000"/>
                <w:sz w:val="22"/>
                <w:szCs w:val="22"/>
              </w:rPr>
              <w:t xml:space="preserve">-gestión social y manejo de tráfico, incluyendo </w:t>
            </w:r>
            <w:proofErr w:type="spellStart"/>
            <w:r w:rsidRPr="00283E81">
              <w:rPr>
                <w:rFonts w:ascii="Garamond" w:hAnsi="Garamond"/>
                <w:color w:val="000000"/>
                <w:sz w:val="22"/>
                <w:szCs w:val="22"/>
              </w:rPr>
              <w:t>f.m</w:t>
            </w:r>
            <w:proofErr w:type="spellEnd"/>
            <w:r w:rsidRPr="00283E81">
              <w:rPr>
                <w:rFonts w:ascii="Garamond" w:hAnsi="Garamond"/>
                <w:color w:val="000000"/>
                <w:sz w:val="22"/>
                <w:szCs w:val="22"/>
              </w:rPr>
              <w:t>.</w:t>
            </w:r>
          </w:p>
        </w:tc>
      </w:tr>
      <w:tr w:rsidR="00377CA7" w:rsidRPr="00283E81" w14:paraId="3BB72F3C"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1527BC"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RETEFUENTE ACTIVIDADES DE CONSULTORÍA (DUR 1625 Art. 1.2.4.10.3)</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4A226CB"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6% del valor de las actividades de consultoría (diagnósticos y estudios y diseños incluyendo exploración de suelos y ensayos de laboratorio que hacen parte de dichos estudios) sin incluir IVA de ninguno de sus componentes.</w:t>
            </w:r>
          </w:p>
        </w:tc>
      </w:tr>
      <w:tr w:rsidR="00377CA7" w:rsidRPr="00283E81" w14:paraId="75AF687F"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9BE370"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ESTAMPILLA CINCUENTA AÑOS UNIVERSIDAD PEDAGÓGICA (ACUERDO 568 DE 2014) - (artículo 1o, Decreto 584 de 2014)</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0714D4D"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Sobre el valor total del contrato</w:t>
            </w:r>
          </w:p>
        </w:tc>
      </w:tr>
      <w:tr w:rsidR="00377CA7" w:rsidRPr="00283E81" w14:paraId="65132B09" w14:textId="77777777" w:rsidTr="00A111D3">
        <w:trPr>
          <w:trHeight w:val="7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48D50F"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 IVA</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228348"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 del valor del IVA</w:t>
            </w:r>
          </w:p>
        </w:tc>
      </w:tr>
    </w:tbl>
    <w:p w14:paraId="2B66D5D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327076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Igualmente, el proponente debe tener en cuenta el gravamen a los movimientos financieros – GMF, equivalente al 4% del valor de real de los giros realizados por el FDLF.  La tabla anterior, primará para el cálculo de los impuestos y contribuciones sobre cualquier otra consideración, ya que su objetivo primordial es poder comparar todas las ofertas en igualdad de condiciones.</w:t>
      </w:r>
    </w:p>
    <w:p w14:paraId="2B52DF6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550E04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estimativos técnicos que hagan los Proponentes para la presentación de sus ofertas deberán tener en cuenta que la ejecución del Contrato se regirá íntegramente por lo previsto en los Documentos del Proceso y que en sus cálculos económicos deben incluir todos los aspectos y requerimientos necesarios para cumplir con todas y cada una de las obligaciones contractuales como asumir los riesgos previstos en dichos documentos.</w:t>
      </w:r>
    </w:p>
    <w:p w14:paraId="1B409B64"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201" w:type="dxa"/>
        <w:jc w:val="center"/>
        <w:tblLayout w:type="fixed"/>
        <w:tblLook w:val="0400" w:firstRow="0" w:lastRow="0" w:firstColumn="0" w:lastColumn="0" w:noHBand="0" w:noVBand="1"/>
      </w:tblPr>
      <w:tblGrid>
        <w:gridCol w:w="9201"/>
      </w:tblGrid>
      <w:tr w:rsidR="00893C28" w:rsidRPr="00283E81" w14:paraId="503CEC67" w14:textId="77777777" w:rsidTr="00A111D3">
        <w:trPr>
          <w:trHeight w:val="270"/>
          <w:jc w:val="center"/>
        </w:trPr>
        <w:tc>
          <w:tcPr>
            <w:tcW w:w="92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89611FE" w14:textId="77777777" w:rsidR="00893C28" w:rsidRPr="00283E81" w:rsidRDefault="00893C28"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10. ACOMPAÑAMIENTO DE LA VEEDURÍA DISTRITAL</w:t>
            </w:r>
          </w:p>
        </w:tc>
      </w:tr>
    </w:tbl>
    <w:p w14:paraId="4C460EEC"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6B755F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cumplimiento de lo dispuesto en el inciso 3° del artículo 66 de la Ley 80 de 1993 la Entidad Contratante invita a todas las personas y organizaciones interesadas en hacer control social al contrato objeto del presente proceso, en cualquiera de sus fases o etapas, a que presenten las recomendaciones que consideren convenientes, intervengan en las audiencias y a que consulten los documentos del Proceso en https://www.colombiacompra.gov.co. De acuerdo con la ley 850 del 2003, las veedurías pueden conformar los diferentes comités (técnicos, financieros y sociales entre otros) para poder ejercer su función. Una vez conformada la veeduría con los parámetros de la ley, desarrollarán su actividad en comunicación con la </w:t>
      </w:r>
      <w:r w:rsidRPr="00283E81">
        <w:rPr>
          <w:rFonts w:ascii="Garamond" w:hAnsi="Garamond"/>
          <w:sz w:val="22"/>
          <w:szCs w:val="22"/>
        </w:rPr>
        <w:t xml:space="preserve">supervisión del FDLF </w:t>
      </w:r>
      <w:r w:rsidRPr="00283E81">
        <w:rPr>
          <w:rFonts w:ascii="Garamond" w:hAnsi="Garamond"/>
          <w:color w:val="000000"/>
          <w:sz w:val="22"/>
          <w:szCs w:val="22"/>
        </w:rPr>
        <w:t>del proyecto. Igualmente se invita a los distintos entes de control del Estado, a acompañar el desarrollo de las diferentes etapas de los procesos de selección en virtud de las competencias que la Ley les ha asignado. </w:t>
      </w:r>
    </w:p>
    <w:p w14:paraId="3269C39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1E81500C"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Cuando el presente proceso de selección cuente con el acompañamiento de la Veeduría Distrital, de </w:t>
      </w:r>
      <w:r w:rsidRPr="00283E81">
        <w:rPr>
          <w:rFonts w:ascii="Garamond" w:hAnsi="Garamond"/>
          <w:color w:val="000000"/>
          <w:sz w:val="22"/>
          <w:szCs w:val="22"/>
        </w:rPr>
        <w:lastRenderedPageBreak/>
        <w:t>conformidad con la facultad que le corresponde a esa Entidad, en los términos de Ley, el FDL facilitará a los funcionarios involucrados en el proceso de selección, la participación en la construcción de un acuerdo colectivo de contenido ético, dentro del “Procedimiento de acompañamiento preventivo para el mejoramiento de la gestión contractual de las Entidades del Distrito Capital”, que desarrolla la Veeduría Distrital. </w:t>
      </w:r>
    </w:p>
    <w:p w14:paraId="61E8AE2E"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66F020A"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Veeduría Distrital se encuentra ubicada en la Avenida el Dorado No. 69-76, Torre 1 piso 3, Edificio Elemento Tel.: 3407666, ext. 501, correo electrónico: </w:t>
      </w:r>
      <w:hyperlink r:id="rId18" w:history="1">
        <w:r w:rsidRPr="00283E81">
          <w:rPr>
            <w:rStyle w:val="Hipervnculo"/>
            <w:rFonts w:ascii="Garamond" w:hAnsi="Garamond"/>
            <w:sz w:val="22"/>
            <w:szCs w:val="22"/>
          </w:rPr>
          <w:t>correspondencia@veeduriadistrital.gov.co</w:t>
        </w:r>
      </w:hyperlink>
      <w:r w:rsidRPr="00283E81">
        <w:rPr>
          <w:rFonts w:ascii="Garamond" w:hAnsi="Garamond"/>
          <w:color w:val="000000"/>
          <w:sz w:val="22"/>
          <w:szCs w:val="22"/>
        </w:rPr>
        <w:t xml:space="preserve"> o</w:t>
      </w:r>
    </w:p>
    <w:p w14:paraId="5BADFF9D" w14:textId="77777777" w:rsidR="00893C28" w:rsidRPr="00283E81" w:rsidRDefault="00573863" w:rsidP="00893C28">
      <w:pPr>
        <w:pBdr>
          <w:top w:val="nil"/>
          <w:left w:val="nil"/>
          <w:bottom w:val="nil"/>
          <w:right w:val="nil"/>
          <w:between w:val="nil"/>
        </w:pBdr>
        <w:jc w:val="both"/>
        <w:rPr>
          <w:rFonts w:ascii="Garamond" w:hAnsi="Garamond"/>
          <w:color w:val="000000"/>
          <w:sz w:val="22"/>
          <w:szCs w:val="22"/>
        </w:rPr>
      </w:pPr>
      <w:hyperlink r:id="rId19" w:history="1">
        <w:r w:rsidR="00893C28" w:rsidRPr="00283E81">
          <w:rPr>
            <w:rStyle w:val="Hipervnculo"/>
            <w:rFonts w:ascii="Garamond" w:hAnsi="Garamond"/>
            <w:sz w:val="22"/>
            <w:szCs w:val="22"/>
          </w:rPr>
          <w:t>denuncie@veeduriadistrital.gov.co</w:t>
        </w:r>
      </w:hyperlink>
    </w:p>
    <w:p w14:paraId="3D341CE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453" w:type="dxa"/>
        <w:jc w:val="center"/>
        <w:tblLayout w:type="fixed"/>
        <w:tblLook w:val="0400" w:firstRow="0" w:lastRow="0" w:firstColumn="0" w:lastColumn="0" w:noHBand="0" w:noVBand="1"/>
      </w:tblPr>
      <w:tblGrid>
        <w:gridCol w:w="9453"/>
      </w:tblGrid>
      <w:tr w:rsidR="00893C28" w:rsidRPr="00283E81" w14:paraId="6E861F3A" w14:textId="77777777" w:rsidTr="00A111D3">
        <w:trPr>
          <w:trHeight w:val="363"/>
          <w:jc w:val="center"/>
        </w:trPr>
        <w:tc>
          <w:tcPr>
            <w:tcW w:w="945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3458EDB" w14:textId="39388621" w:rsidR="00893C28" w:rsidRPr="00283E81" w:rsidRDefault="00893C28" w:rsidP="00893C28">
            <w:pPr>
              <w:pBdr>
                <w:top w:val="nil"/>
                <w:left w:val="nil"/>
                <w:bottom w:val="nil"/>
                <w:right w:val="nil"/>
                <w:between w:val="nil"/>
              </w:pBdr>
              <w:spacing w:before="45" w:line="276" w:lineRule="auto"/>
              <w:ind w:left="360"/>
              <w:rPr>
                <w:rFonts w:ascii="Garamond" w:hAnsi="Garamond"/>
                <w:b/>
                <w:color w:val="000000"/>
                <w:sz w:val="22"/>
                <w:szCs w:val="22"/>
              </w:rPr>
            </w:pPr>
            <w:r w:rsidRPr="00283E81">
              <w:rPr>
                <w:rFonts w:ascii="Garamond" w:hAnsi="Garamond"/>
                <w:b/>
                <w:color w:val="000000"/>
                <w:sz w:val="22"/>
                <w:szCs w:val="22"/>
              </w:rPr>
              <w:t>11. LUCHA CONTRA LA CORRUPCIÓN</w:t>
            </w:r>
          </w:p>
        </w:tc>
      </w:tr>
    </w:tbl>
    <w:p w14:paraId="2A68F2B3"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173395F8"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el evento de conocerse casos de corrupción en las Entidades del Estado, se debe reportar el hecho a la Secretaría de Transparencia de la Presidencia de la Republica a través de los números telefónicos: (571) 5629300, (571) 2822800; vía fax al número telefónico (571) 3375890: la línea gratis de atención desde cualquier lugar del país: 01800913040 o al correo electrónico transparencia@presidencia.gov.co y personalmente a la dirección Carrera 8 No. 7-27 Bogotá D.C.</w:t>
      </w:r>
    </w:p>
    <w:p w14:paraId="310D15E0"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5E0CF07D"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Así mismo, la Secretaría Distrital de Gobierno ha puesto a disposición de la ciudadanía en general el siguiente correo electrónico: contrataciontransparente@gobiernobogota.gov.co, en donde se podrán presentar también las denuncias por posibles actos de corrupción.</w:t>
      </w:r>
    </w:p>
    <w:p w14:paraId="57F81966"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172DB81"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463" w:type="dxa"/>
        <w:jc w:val="center"/>
        <w:tblLayout w:type="fixed"/>
        <w:tblLook w:val="0400" w:firstRow="0" w:lastRow="0" w:firstColumn="0" w:lastColumn="0" w:noHBand="0" w:noVBand="1"/>
      </w:tblPr>
      <w:tblGrid>
        <w:gridCol w:w="9463"/>
      </w:tblGrid>
      <w:tr w:rsidR="00893C28" w:rsidRPr="00283E81" w14:paraId="3F0285A7" w14:textId="77777777" w:rsidTr="00111913">
        <w:trPr>
          <w:trHeight w:val="275"/>
          <w:jc w:val="center"/>
        </w:trPr>
        <w:tc>
          <w:tcPr>
            <w:tcW w:w="946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E5BB384" w14:textId="2C9B3CBB" w:rsidR="00893C28" w:rsidRPr="00283E81" w:rsidRDefault="00893C28" w:rsidP="00111913">
            <w:pPr>
              <w:pStyle w:val="Prrafodelista"/>
              <w:numPr>
                <w:ilvl w:val="0"/>
                <w:numId w:val="23"/>
              </w:numPr>
              <w:pBdr>
                <w:top w:val="nil"/>
                <w:left w:val="nil"/>
                <w:bottom w:val="nil"/>
                <w:right w:val="nil"/>
                <w:between w:val="nil"/>
              </w:pBdr>
              <w:spacing w:before="45" w:after="0"/>
              <w:rPr>
                <w:rFonts w:ascii="Garamond" w:hAnsi="Garamond"/>
                <w:b/>
                <w:color w:val="000000"/>
              </w:rPr>
            </w:pPr>
            <w:r w:rsidRPr="00283E81">
              <w:rPr>
                <w:rFonts w:ascii="Garamond" w:hAnsi="Garamond"/>
                <w:b/>
                <w:color w:val="000000"/>
              </w:rPr>
              <w:t>LISTADO DE ANEXOS, FORMATOS, MATRICES Y FORMULARIOS</w:t>
            </w:r>
          </w:p>
        </w:tc>
      </w:tr>
    </w:tbl>
    <w:p w14:paraId="10902B16" w14:textId="77777777" w:rsidR="00893C28" w:rsidRPr="00283E81" w:rsidRDefault="00893C28" w:rsidP="00893C28">
      <w:pPr>
        <w:pBdr>
          <w:top w:val="nil"/>
          <w:left w:val="nil"/>
          <w:bottom w:val="nil"/>
          <w:right w:val="nil"/>
          <w:between w:val="nil"/>
        </w:pBdr>
        <w:ind w:left="720"/>
        <w:jc w:val="both"/>
        <w:rPr>
          <w:rFonts w:ascii="Garamond" w:hAnsi="Garamond"/>
          <w:b/>
          <w:color w:val="000000"/>
          <w:sz w:val="22"/>
          <w:szCs w:val="22"/>
        </w:rPr>
      </w:pPr>
    </w:p>
    <w:p w14:paraId="5ECE2212" w14:textId="46ED16CA"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12.1 ANEXOS</w:t>
      </w:r>
    </w:p>
    <w:p w14:paraId="24FDF48B"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1 – Anexo Técnico</w:t>
      </w:r>
    </w:p>
    <w:p w14:paraId="3D9B3078"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2 – Cronograma</w:t>
      </w:r>
    </w:p>
    <w:p w14:paraId="059F3960"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3 – Pacto de Transparencia</w:t>
      </w:r>
    </w:p>
    <w:p w14:paraId="4868B9D1"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4 – Minuta del Contrato</w:t>
      </w:r>
    </w:p>
    <w:p w14:paraId="5ECC8184"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74AD6BA0" w14:textId="3BB30B7D"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12.2 FORMATOS</w:t>
      </w:r>
    </w:p>
    <w:p w14:paraId="78E4CA74"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03ECC4DA"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3C06DE20"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 – Carta de presentación de la oferta</w:t>
      </w:r>
    </w:p>
    <w:p w14:paraId="6E8434FC"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2 – Conformación de Proponente plural (Formato 2A- Consorcios) (Formato 2B- UT) </w:t>
      </w:r>
    </w:p>
    <w:p w14:paraId="60F18CB3"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3 – Experiencia</w:t>
      </w:r>
    </w:p>
    <w:p w14:paraId="2DAF9143"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4 – Capacidad financiera y organizacional</w:t>
      </w:r>
    </w:p>
    <w:p w14:paraId="43646FD6"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5 – Capacidad residual </w:t>
      </w:r>
    </w:p>
    <w:p w14:paraId="7F233CEE"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6 – Pagos de seguridad social y aportes legales</w:t>
      </w:r>
    </w:p>
    <w:p w14:paraId="05E56EA6"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7 – Factor de calidad </w:t>
      </w:r>
    </w:p>
    <w:p w14:paraId="4DD29744"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lastRenderedPageBreak/>
        <w:t>Formato 8 – Vinculación de personas con discapacidad</w:t>
      </w:r>
    </w:p>
    <w:p w14:paraId="2301F80D"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9 – Puntaje de Industria Nacional.</w:t>
      </w:r>
    </w:p>
    <w:p w14:paraId="1D95D73A"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10 – Factores de desempate  </w:t>
      </w:r>
    </w:p>
    <w:p w14:paraId="186E9102"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11 – Autorización para el tratamiento de datos personales </w:t>
      </w:r>
    </w:p>
    <w:p w14:paraId="64BDB165"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12 – Factor de sostenibilidad técnico ambiental agregado. </w:t>
      </w:r>
    </w:p>
    <w:p w14:paraId="5C4B6E52"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13 – Acreditación de emprendimientos y empresas de mujeres</w:t>
      </w:r>
    </w:p>
    <w:p w14:paraId="54D41894"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14 – Acreditación de Mipyme</w:t>
      </w:r>
    </w:p>
    <w:p w14:paraId="55CD8F88" w14:textId="77777777" w:rsidR="00893C28" w:rsidRPr="00283E81" w:rsidRDefault="00893C28" w:rsidP="00620FD6">
      <w:pPr>
        <w:pBdr>
          <w:top w:val="nil"/>
          <w:left w:val="nil"/>
          <w:bottom w:val="nil"/>
          <w:right w:val="nil"/>
          <w:between w:val="nil"/>
        </w:pBdr>
        <w:suppressAutoHyphens w:val="0"/>
        <w:autoSpaceDN/>
        <w:spacing w:before="45"/>
        <w:ind w:left="720"/>
        <w:jc w:val="both"/>
        <w:textAlignment w:val="auto"/>
        <w:rPr>
          <w:rFonts w:ascii="Garamond" w:hAnsi="Garamond"/>
          <w:color w:val="000000"/>
          <w:sz w:val="22"/>
          <w:szCs w:val="22"/>
        </w:rPr>
      </w:pPr>
    </w:p>
    <w:p w14:paraId="67BFC8F8"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12.3 MATRICES</w:t>
      </w:r>
    </w:p>
    <w:p w14:paraId="39DF9629"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438DBED1" w14:textId="77777777" w:rsidR="00893C28" w:rsidRPr="00283E81" w:rsidRDefault="00893C28" w:rsidP="00620FD6">
      <w:pPr>
        <w:numPr>
          <w:ilvl w:val="0"/>
          <w:numId w:val="64"/>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Matriz 1 – Indicadores financieros y organizacionales</w:t>
      </w:r>
    </w:p>
    <w:p w14:paraId="2FDE20E8" w14:textId="3F574F0B" w:rsidR="00893C28" w:rsidRPr="00283E81" w:rsidRDefault="00893C28" w:rsidP="00620FD6">
      <w:pPr>
        <w:pStyle w:val="Prrafodelista"/>
        <w:numPr>
          <w:ilvl w:val="0"/>
          <w:numId w:val="64"/>
        </w:numPr>
        <w:pBdr>
          <w:top w:val="nil"/>
          <w:left w:val="nil"/>
          <w:bottom w:val="nil"/>
          <w:right w:val="nil"/>
          <w:between w:val="nil"/>
        </w:pBdr>
        <w:spacing w:before="45"/>
        <w:rPr>
          <w:rFonts w:ascii="Garamond" w:hAnsi="Garamond"/>
          <w:color w:val="000000"/>
        </w:rPr>
      </w:pPr>
      <w:r w:rsidRPr="00283E81">
        <w:rPr>
          <w:rFonts w:ascii="Garamond" w:hAnsi="Garamond"/>
          <w:color w:val="000000"/>
        </w:rPr>
        <w:t>Matriz 2 – Riesgos</w:t>
      </w:r>
    </w:p>
    <w:p w14:paraId="77A13AF8" w14:textId="04F404CC" w:rsidR="00893C28" w:rsidRPr="00283E81" w:rsidRDefault="00893C28" w:rsidP="00620FD6">
      <w:pPr>
        <w:pStyle w:val="Prrafodelista"/>
        <w:numPr>
          <w:ilvl w:val="0"/>
          <w:numId w:val="64"/>
        </w:numPr>
        <w:pBdr>
          <w:top w:val="nil"/>
          <w:left w:val="nil"/>
          <w:bottom w:val="nil"/>
          <w:right w:val="nil"/>
          <w:between w:val="nil"/>
        </w:pBdr>
        <w:spacing w:before="45"/>
        <w:rPr>
          <w:rFonts w:ascii="Garamond" w:hAnsi="Garamond"/>
          <w:color w:val="000000"/>
        </w:rPr>
      </w:pPr>
      <w:r w:rsidRPr="00283E81">
        <w:rPr>
          <w:rFonts w:ascii="Garamond" w:hAnsi="Garamond"/>
          <w:color w:val="000000"/>
        </w:rPr>
        <w:t>Matriz 3 – Bienes nacionales relevantes para la obra pública de infraestructura social</w:t>
      </w:r>
    </w:p>
    <w:p w14:paraId="10F88E72" w14:textId="4570342C" w:rsidR="00893C28" w:rsidRPr="00283E81" w:rsidRDefault="00893C28" w:rsidP="004F0D64">
      <w:pPr>
        <w:pStyle w:val="Prrafodelista"/>
        <w:numPr>
          <w:ilvl w:val="1"/>
          <w:numId w:val="74"/>
        </w:numPr>
        <w:pBdr>
          <w:top w:val="nil"/>
          <w:left w:val="nil"/>
          <w:bottom w:val="nil"/>
          <w:right w:val="nil"/>
          <w:between w:val="nil"/>
        </w:pBdr>
        <w:ind w:left="720"/>
        <w:rPr>
          <w:rFonts w:ascii="Garamond" w:hAnsi="Garamond"/>
          <w:b/>
          <w:color w:val="000000"/>
        </w:rPr>
      </w:pPr>
      <w:r w:rsidRPr="00283E81">
        <w:rPr>
          <w:rFonts w:ascii="Garamond" w:hAnsi="Garamond"/>
          <w:b/>
          <w:color w:val="000000"/>
        </w:rPr>
        <w:t>FORMULARIOS</w:t>
      </w:r>
    </w:p>
    <w:p w14:paraId="6616FBFD" w14:textId="00E7A5B3" w:rsidR="005C38F5" w:rsidRPr="00283E81" w:rsidRDefault="00893C28" w:rsidP="00F768D0">
      <w:pPr>
        <w:pStyle w:val="Prrafodelista"/>
        <w:numPr>
          <w:ilvl w:val="1"/>
          <w:numId w:val="64"/>
        </w:numPr>
        <w:pBdr>
          <w:top w:val="nil"/>
          <w:left w:val="nil"/>
          <w:bottom w:val="nil"/>
          <w:right w:val="nil"/>
          <w:between w:val="nil"/>
        </w:pBdr>
        <w:spacing w:before="45" w:line="276" w:lineRule="auto"/>
        <w:rPr>
          <w:rFonts w:ascii="Garamond" w:hAnsi="Garamond"/>
          <w:color w:val="000000" w:themeColor="text1"/>
        </w:rPr>
      </w:pPr>
      <w:r w:rsidRPr="00283E81">
        <w:rPr>
          <w:rFonts w:ascii="Garamond" w:hAnsi="Garamond"/>
          <w:color w:val="000000" w:themeColor="text1"/>
        </w:rPr>
        <w:t>Formulario 1– Formulario de Presupuesto Oficial</w:t>
      </w:r>
    </w:p>
    <w:p w14:paraId="6F728188" w14:textId="77777777" w:rsidR="005C38F5" w:rsidRPr="00283E81" w:rsidRDefault="005C38F5" w:rsidP="00F768D0">
      <w:pPr>
        <w:pStyle w:val="Standard"/>
        <w:jc w:val="both"/>
        <w:rPr>
          <w:rFonts w:ascii="Garamond" w:hAnsi="Garamond" w:cs="Arial"/>
          <w:color w:val="FF0000"/>
          <w:sz w:val="22"/>
          <w:szCs w:val="22"/>
        </w:rPr>
      </w:pPr>
    </w:p>
    <w:p w14:paraId="335BBD98" w14:textId="149FB06C" w:rsidR="005C38F5" w:rsidRDefault="005C38F5" w:rsidP="00F768D0">
      <w:pPr>
        <w:pStyle w:val="Standard"/>
        <w:jc w:val="both"/>
        <w:rPr>
          <w:rFonts w:ascii="Garamond" w:hAnsi="Garamond" w:cs="Arial"/>
          <w:color w:val="FF0000"/>
          <w:sz w:val="22"/>
          <w:szCs w:val="22"/>
        </w:rPr>
      </w:pPr>
    </w:p>
    <w:p w14:paraId="4D3FC9F1" w14:textId="77777777" w:rsidR="00581789" w:rsidRPr="00283E81" w:rsidRDefault="00581789" w:rsidP="00F768D0">
      <w:pPr>
        <w:pStyle w:val="Standard"/>
        <w:jc w:val="both"/>
        <w:rPr>
          <w:rFonts w:ascii="Garamond" w:hAnsi="Garamond" w:cs="Arial"/>
          <w:color w:val="FF0000"/>
          <w:sz w:val="22"/>
          <w:szCs w:val="22"/>
        </w:rPr>
      </w:pPr>
    </w:p>
    <w:p w14:paraId="3853C82A" w14:textId="77777777" w:rsidR="00F768D0" w:rsidRPr="00283E81" w:rsidRDefault="00F768D0" w:rsidP="00F768D0">
      <w:pPr>
        <w:pStyle w:val="Standard"/>
        <w:jc w:val="both"/>
        <w:rPr>
          <w:rFonts w:ascii="Garamond" w:hAnsi="Garamond" w:cs="Arial"/>
          <w:color w:val="000000"/>
          <w:sz w:val="22"/>
          <w:szCs w:val="22"/>
          <w:lang w:val="es-ES" w:eastAsia="es-CO"/>
        </w:rPr>
      </w:pPr>
      <w:r w:rsidRPr="00283E81">
        <w:rPr>
          <w:rFonts w:ascii="Garamond" w:hAnsi="Garamond"/>
          <w:noProof/>
          <w:sz w:val="22"/>
          <w:szCs w:val="22"/>
          <w:lang w:eastAsia="es-CO"/>
        </w:rPr>
        <mc:AlternateContent>
          <mc:Choice Requires="wps">
            <w:drawing>
              <wp:anchor distT="4294967295" distB="4294967295" distL="114300" distR="114300" simplePos="0" relativeHeight="251659264" behindDoc="0" locked="0" layoutInCell="1" allowOverlap="1" wp14:anchorId="4B2DF643" wp14:editId="3D4D3F7B">
                <wp:simplePos x="0" y="0"/>
                <wp:positionH relativeFrom="column">
                  <wp:posOffset>1828800</wp:posOffset>
                </wp:positionH>
                <wp:positionV relativeFrom="paragraph">
                  <wp:posOffset>100329</wp:posOffset>
                </wp:positionV>
                <wp:extent cx="2400300"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00300"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w:pict w14:anchorId="6A506014">
              <v:line id="2 Conector recto"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o:spid="_x0000_s1026" strokeweight=".26mm" from="2in,7.9pt" to="333pt,7.9pt" w14:anchorId="37EA6D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lFkwEAACUDAAAOAAAAZHJzL2Uyb0RvYy54bWysUsFu2zAMvRfYPwi6L3LToliNOD006C5F&#10;V6DrBzCyFAuTREFUY+fvJ8lJ2m63YT4QJh/5xEdydTc5y/YqkkHf8ctFw5nyEnvjdx1//fnw9Rtn&#10;lMD3YNGrjh8U8bv1l4vVGFq1xAFtryLLJJ7aMXR8SCm0QpAclANaYFA+gxqjg5TduBN9hDGzOyuW&#10;TXMjRox9iCgVUY5uZpCvK7/WSqYfWpNKzHY895aqjdVuixXrFbS7CGEw8tgG/EMXDozPj56pNpCA&#10;vUXzF5UzMiKhTguJTqDWRqqqIau5bP5Q8zJAUFVLHg6F85jo/9HKp/29f46ldTn5l/CI8hfloYgx&#10;UHsGi0NhTpt0dCU9986mOsjDeZBqSkzm4PK6aa6aPG95wgS0p8IQKX1X6Fj56bg1vmiEFvaPlMrT&#10;0J5SStjjg7G27sl6Nnb89uqmqQWE1vQFLGkUd9t7G9keyqbrV5abyT6lFeYN0DDnVWi+AWeSinOB&#10;9Uf9s+Qifov94bnCxcu7qMzHuynL/ujX6vfrXv8GAAD//wMAUEsDBBQABgAIAAAAIQAbfZNS4QAA&#10;AA4BAAAPAAAAZHJzL2Rvd25yZXYueG1sTI/LTsMwEEX3SPyDNUhsEHVaCSukcSqgggULpL72TjxN&#10;IuJxiJ028PUMYgGbkebeedyTrybXiRMOofWkYT5LQCBV3rZUa9jvnm9TECEasqbzhBo+McCquLzI&#10;TWb9mTZ42sZa8BEKmdHQxNhnUoaqQWfCzPdI7B394EzkdqilHcyZj7tOLpJESWda4g+N6fGpwep9&#10;OzoNH6o/lF9yfLy5f93N0/3o6G39ovX11bRecnlYgog4xb8N+GHg/FBwsNKPZIPoNCzSlIEiG3fM&#10;wQNKKRbKX0EWufyPUXwDAAD//wMAUEsBAi0AFAAGAAgAAAAhALaDOJL+AAAA4QEAABMAAAAAAAAA&#10;AAAAAAAAAAAAAFtDb250ZW50X1R5cGVzXS54bWxQSwECLQAUAAYACAAAACEAOP0h/9YAAACUAQAA&#10;CwAAAAAAAAAAAAAAAAAvAQAAX3JlbHMvLnJlbHNQSwECLQAUAAYACAAAACEA3R3ZRZMBAAAlAwAA&#10;DgAAAAAAAAAAAAAAAAAuAgAAZHJzL2Uyb0RvYy54bWxQSwECLQAUAAYACAAAACEAG32TUuEAAAAO&#10;AQAADwAAAAAAAAAAAAAAAADtAwAAZHJzL2Rvd25yZXYueG1sUEsFBgAAAAAEAAQA8wAAAPsEAAAA&#10;AA==&#10;">
                <v:stroke joinstyle="miter"/>
                <o:lock v:ext="edit" shapetype="f"/>
              </v:line>
            </w:pict>
          </mc:Fallback>
        </mc:AlternateContent>
      </w:r>
    </w:p>
    <w:p w14:paraId="0C40DBF9" w14:textId="07EDBAA5" w:rsidR="00562444" w:rsidRPr="00283E81" w:rsidRDefault="00562444" w:rsidP="00893C28">
      <w:pPr>
        <w:pBdr>
          <w:top w:val="nil"/>
          <w:left w:val="nil"/>
          <w:bottom w:val="nil"/>
          <w:right w:val="nil"/>
          <w:between w:val="nil"/>
        </w:pBdr>
        <w:jc w:val="center"/>
        <w:rPr>
          <w:rFonts w:ascii="Garamond" w:hAnsi="Garamond"/>
          <w:b/>
          <w:color w:val="000000"/>
          <w:sz w:val="22"/>
          <w:szCs w:val="22"/>
        </w:rPr>
      </w:pPr>
      <w:r w:rsidRPr="00283E81">
        <w:rPr>
          <w:rFonts w:ascii="Garamond" w:hAnsi="Garamond"/>
          <w:b/>
          <w:color w:val="000000"/>
          <w:sz w:val="22"/>
          <w:szCs w:val="22"/>
        </w:rPr>
        <w:t>PAOLA ANDREA OSORIO LOZANO</w:t>
      </w:r>
    </w:p>
    <w:p w14:paraId="0E305593" w14:textId="780CC6A4" w:rsidR="00893C28" w:rsidRPr="00283E81" w:rsidRDefault="00893C28" w:rsidP="00893C28">
      <w:pPr>
        <w:pBdr>
          <w:top w:val="nil"/>
          <w:left w:val="nil"/>
          <w:bottom w:val="nil"/>
          <w:right w:val="nil"/>
          <w:between w:val="nil"/>
        </w:pBdr>
        <w:jc w:val="center"/>
        <w:rPr>
          <w:rFonts w:ascii="Garamond" w:hAnsi="Garamond"/>
          <w:color w:val="000000"/>
          <w:sz w:val="22"/>
          <w:szCs w:val="22"/>
          <w:lang w:val="pt-PT"/>
        </w:rPr>
      </w:pPr>
      <w:r w:rsidRPr="00283E81">
        <w:rPr>
          <w:rFonts w:ascii="Garamond" w:hAnsi="Garamond"/>
          <w:b/>
          <w:color w:val="000000"/>
          <w:sz w:val="22"/>
          <w:szCs w:val="22"/>
          <w:lang w:val="pt-PT"/>
        </w:rPr>
        <w:t xml:space="preserve">ALCALDESA LOCAL DE FONTIBÓN </w:t>
      </w:r>
    </w:p>
    <w:p w14:paraId="7D0F2132" w14:textId="77777777" w:rsidR="009862CC" w:rsidRPr="00283E81" w:rsidRDefault="009862CC" w:rsidP="00F768D0">
      <w:pPr>
        <w:pStyle w:val="Standard"/>
        <w:jc w:val="both"/>
        <w:rPr>
          <w:rFonts w:ascii="Garamond" w:hAnsi="Garamond" w:cs="Arial"/>
          <w:color w:val="000000"/>
          <w:sz w:val="22"/>
          <w:szCs w:val="22"/>
          <w:lang w:val="pt-PT"/>
        </w:rPr>
      </w:pPr>
    </w:p>
    <w:tbl>
      <w:tblPr>
        <w:tblStyle w:val="Tablaconcuadrcula"/>
        <w:tblW w:w="0" w:type="auto"/>
        <w:tblLook w:val="04A0" w:firstRow="1" w:lastRow="0" w:firstColumn="1" w:lastColumn="0" w:noHBand="0" w:noVBand="1"/>
      </w:tblPr>
      <w:tblGrid>
        <w:gridCol w:w="3256"/>
        <w:gridCol w:w="3006"/>
        <w:gridCol w:w="3132"/>
      </w:tblGrid>
      <w:tr w:rsidR="00643610" w:rsidRPr="00283E81" w14:paraId="7CB77565" w14:textId="77777777" w:rsidTr="00620FD6">
        <w:trPr>
          <w:trHeight w:val="41"/>
        </w:trPr>
        <w:tc>
          <w:tcPr>
            <w:tcW w:w="3256" w:type="dxa"/>
          </w:tcPr>
          <w:p w14:paraId="75DFD044" w14:textId="77777777" w:rsidR="00643610" w:rsidRPr="00283E81" w:rsidRDefault="00643610" w:rsidP="00CA7FF2">
            <w:pPr>
              <w:jc w:val="center"/>
              <w:rPr>
                <w:rFonts w:ascii="Garamond" w:hAnsi="Garamond"/>
                <w:b/>
                <w:sz w:val="22"/>
                <w:szCs w:val="22"/>
                <w:lang w:val="es-ES"/>
              </w:rPr>
            </w:pPr>
            <w:bookmarkStart w:id="89" w:name="_Hlk204868118"/>
            <w:bookmarkEnd w:id="88"/>
            <w:r w:rsidRPr="00283E81">
              <w:rPr>
                <w:rFonts w:ascii="Garamond" w:hAnsi="Garamond"/>
                <w:b/>
                <w:sz w:val="22"/>
                <w:szCs w:val="22"/>
                <w:lang w:val="es-ES"/>
              </w:rPr>
              <w:t>Elaboró Componente Técnico</w:t>
            </w:r>
          </w:p>
        </w:tc>
        <w:tc>
          <w:tcPr>
            <w:tcW w:w="3006" w:type="dxa"/>
          </w:tcPr>
          <w:p w14:paraId="2645B9B7"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Dependencia</w:t>
            </w:r>
          </w:p>
        </w:tc>
        <w:tc>
          <w:tcPr>
            <w:tcW w:w="3132" w:type="dxa"/>
          </w:tcPr>
          <w:p w14:paraId="5BF26271"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78B0D040" w14:textId="77777777" w:rsidTr="00620FD6">
        <w:trPr>
          <w:trHeight w:val="20"/>
        </w:trPr>
        <w:tc>
          <w:tcPr>
            <w:tcW w:w="3256" w:type="dxa"/>
          </w:tcPr>
          <w:p w14:paraId="47DFB0F5" w14:textId="1AD31A70" w:rsidR="00643610" w:rsidRPr="00283E81" w:rsidRDefault="00495B6F" w:rsidP="00CA7FF2">
            <w:pPr>
              <w:jc w:val="center"/>
              <w:rPr>
                <w:rFonts w:ascii="Garamond" w:hAnsi="Garamond"/>
                <w:b/>
                <w:sz w:val="22"/>
                <w:szCs w:val="22"/>
                <w:lang w:val="es-ES"/>
              </w:rPr>
            </w:pPr>
            <w:r w:rsidRPr="00283E81">
              <w:rPr>
                <w:rFonts w:ascii="Garamond" w:hAnsi="Garamond"/>
                <w:b/>
                <w:sz w:val="22"/>
                <w:szCs w:val="22"/>
                <w:lang w:val="es-ES"/>
              </w:rPr>
              <w:t>Juan Sebastián Ramírez García</w:t>
            </w:r>
          </w:p>
        </w:tc>
        <w:tc>
          <w:tcPr>
            <w:tcW w:w="3006" w:type="dxa"/>
          </w:tcPr>
          <w:p w14:paraId="6B948C01" w14:textId="2FE93554"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3CCBFCDF" w14:textId="084B55B9"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56E3AC85" wp14:editId="61F8A94D">
                  <wp:extent cx="812800" cy="209550"/>
                  <wp:effectExtent l="0" t="0" r="6350" b="0"/>
                  <wp:docPr id="4615217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6205" cy="210428"/>
                          </a:xfrm>
                          <a:prstGeom prst="rect">
                            <a:avLst/>
                          </a:prstGeom>
                          <a:noFill/>
                        </pic:spPr>
                      </pic:pic>
                    </a:graphicData>
                  </a:graphic>
                </wp:inline>
              </w:drawing>
            </w:r>
          </w:p>
        </w:tc>
      </w:tr>
      <w:tr w:rsidR="00643610" w:rsidRPr="00283E81" w14:paraId="12ECE1B5" w14:textId="77777777" w:rsidTr="00620FD6">
        <w:trPr>
          <w:trHeight w:val="20"/>
        </w:trPr>
        <w:tc>
          <w:tcPr>
            <w:tcW w:w="3256" w:type="dxa"/>
          </w:tcPr>
          <w:p w14:paraId="42CFD44C"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 xml:space="preserve">Elaboró Componente Económico y Financiero </w:t>
            </w:r>
          </w:p>
        </w:tc>
        <w:tc>
          <w:tcPr>
            <w:tcW w:w="3006" w:type="dxa"/>
          </w:tcPr>
          <w:p w14:paraId="3A102DE5"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Dependencia</w:t>
            </w:r>
          </w:p>
        </w:tc>
        <w:tc>
          <w:tcPr>
            <w:tcW w:w="3132" w:type="dxa"/>
          </w:tcPr>
          <w:p w14:paraId="19BD6C35"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3EFF9BDB" w14:textId="77777777" w:rsidTr="00620FD6">
        <w:trPr>
          <w:trHeight w:val="20"/>
        </w:trPr>
        <w:tc>
          <w:tcPr>
            <w:tcW w:w="3256" w:type="dxa"/>
          </w:tcPr>
          <w:p w14:paraId="7FD36F46" w14:textId="49C209F1" w:rsidR="00643610" w:rsidRPr="00283E81" w:rsidRDefault="00495B6F" w:rsidP="00CA7FF2">
            <w:pPr>
              <w:jc w:val="center"/>
              <w:rPr>
                <w:rFonts w:ascii="Garamond" w:hAnsi="Garamond"/>
                <w:bCs/>
                <w:sz w:val="22"/>
                <w:szCs w:val="22"/>
                <w:lang w:val="es-ES"/>
              </w:rPr>
            </w:pPr>
            <w:r w:rsidRPr="00283E81">
              <w:rPr>
                <w:rFonts w:ascii="Garamond" w:hAnsi="Garamond"/>
                <w:b/>
                <w:sz w:val="22"/>
                <w:szCs w:val="22"/>
                <w:lang w:val="es-ES"/>
              </w:rPr>
              <w:t>Juan Sebastián Ramírez García</w:t>
            </w:r>
          </w:p>
        </w:tc>
        <w:tc>
          <w:tcPr>
            <w:tcW w:w="3006" w:type="dxa"/>
          </w:tcPr>
          <w:p w14:paraId="6D60C9E3" w14:textId="70BD7973" w:rsidR="00643610" w:rsidRPr="00283E81" w:rsidRDefault="00495B6F" w:rsidP="00CA7FF2">
            <w:pPr>
              <w:jc w:val="center"/>
              <w:rPr>
                <w:rFonts w:ascii="Garamond" w:hAnsi="Garamond"/>
                <w:b/>
                <w:sz w:val="22"/>
                <w:szCs w:val="22"/>
                <w:lang w:val="es-ES"/>
              </w:rPr>
            </w:pPr>
            <w:r w:rsidRPr="00283E81">
              <w:rPr>
                <w:rFonts w:ascii="Garamond" w:hAnsi="Garamond"/>
                <w:sz w:val="22"/>
                <w:szCs w:val="22"/>
                <w:lang w:val="es-ES"/>
              </w:rPr>
              <w:t>Fondo de Desarrollo Local de Fontibón – Contratación</w:t>
            </w:r>
          </w:p>
        </w:tc>
        <w:tc>
          <w:tcPr>
            <w:tcW w:w="3132" w:type="dxa"/>
          </w:tcPr>
          <w:p w14:paraId="352DF43D" w14:textId="3E87002D"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5C1E9E7B" wp14:editId="3F5CB0D5">
                  <wp:extent cx="812800" cy="209550"/>
                  <wp:effectExtent l="0" t="0" r="6350" b="0"/>
                  <wp:docPr id="28664759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6205" cy="210428"/>
                          </a:xfrm>
                          <a:prstGeom prst="rect">
                            <a:avLst/>
                          </a:prstGeom>
                          <a:noFill/>
                        </pic:spPr>
                      </pic:pic>
                    </a:graphicData>
                  </a:graphic>
                </wp:inline>
              </w:drawing>
            </w:r>
          </w:p>
        </w:tc>
      </w:tr>
      <w:tr w:rsidR="00643610" w:rsidRPr="00283E81" w14:paraId="09B37451" w14:textId="77777777" w:rsidTr="00620FD6">
        <w:trPr>
          <w:trHeight w:val="20"/>
        </w:trPr>
        <w:tc>
          <w:tcPr>
            <w:tcW w:w="3256" w:type="dxa"/>
          </w:tcPr>
          <w:p w14:paraId="6F0AF646"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Revisó Componente Técnico</w:t>
            </w:r>
          </w:p>
        </w:tc>
        <w:tc>
          <w:tcPr>
            <w:tcW w:w="3006" w:type="dxa"/>
          </w:tcPr>
          <w:p w14:paraId="1296D3D8"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3F49B50C"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2DCDAFD9" w14:textId="77777777" w:rsidTr="00620FD6">
        <w:trPr>
          <w:trHeight w:val="20"/>
        </w:trPr>
        <w:tc>
          <w:tcPr>
            <w:tcW w:w="3256" w:type="dxa"/>
          </w:tcPr>
          <w:p w14:paraId="47109DC8" w14:textId="618655F3"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Sandra Yineth Fajardo Usaquén</w:t>
            </w:r>
          </w:p>
        </w:tc>
        <w:tc>
          <w:tcPr>
            <w:tcW w:w="3006" w:type="dxa"/>
          </w:tcPr>
          <w:p w14:paraId="6381EB14" w14:textId="79028537"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0A244DEA" w14:textId="29D01261"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04EFECFB" wp14:editId="1E0EF86A">
                  <wp:extent cx="847399" cy="293026"/>
                  <wp:effectExtent l="0" t="0" r="0" b="0"/>
                  <wp:docPr id="2416372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3875" cy="295265"/>
                          </a:xfrm>
                          <a:prstGeom prst="rect">
                            <a:avLst/>
                          </a:prstGeom>
                          <a:noFill/>
                        </pic:spPr>
                      </pic:pic>
                    </a:graphicData>
                  </a:graphic>
                </wp:inline>
              </w:drawing>
            </w:r>
          </w:p>
        </w:tc>
      </w:tr>
      <w:tr w:rsidR="00643610" w:rsidRPr="00283E81" w14:paraId="23AFC7C7" w14:textId="77777777" w:rsidTr="00620FD6">
        <w:trPr>
          <w:trHeight w:val="20"/>
        </w:trPr>
        <w:tc>
          <w:tcPr>
            <w:tcW w:w="3256" w:type="dxa"/>
          </w:tcPr>
          <w:p w14:paraId="46DFE742"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Revisó Componente Jurídico</w:t>
            </w:r>
          </w:p>
        </w:tc>
        <w:tc>
          <w:tcPr>
            <w:tcW w:w="3006" w:type="dxa"/>
          </w:tcPr>
          <w:p w14:paraId="16B79723"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1C2DCA1F"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13261BB3" w14:textId="77777777" w:rsidTr="00620FD6">
        <w:trPr>
          <w:trHeight w:val="20"/>
        </w:trPr>
        <w:tc>
          <w:tcPr>
            <w:tcW w:w="3256" w:type="dxa"/>
          </w:tcPr>
          <w:p w14:paraId="298FDFD5"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Luis Fdo. Hernández S</w:t>
            </w:r>
          </w:p>
          <w:p w14:paraId="0F8AAD3F"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t xml:space="preserve">Abogado Contratación - Componente Jurídico </w:t>
            </w:r>
          </w:p>
        </w:tc>
        <w:tc>
          <w:tcPr>
            <w:tcW w:w="3006" w:type="dxa"/>
          </w:tcPr>
          <w:p w14:paraId="56250C92"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66603034" w14:textId="7E705D54" w:rsidR="00643610" w:rsidRPr="00283E81" w:rsidRDefault="00786F45" w:rsidP="00CA7FF2">
            <w:pPr>
              <w:jc w:val="center"/>
              <w:rPr>
                <w:rFonts w:ascii="Garamond" w:hAnsi="Garamond"/>
                <w:b/>
                <w:sz w:val="22"/>
                <w:szCs w:val="22"/>
                <w:highlight w:val="yellow"/>
                <w:lang w:val="es-ES"/>
              </w:rPr>
            </w:pPr>
            <w:r w:rsidRPr="00283E81">
              <w:rPr>
                <w:rFonts w:ascii="Garamond" w:hAnsi="Garamond"/>
                <w:b/>
                <w:noProof/>
                <w:sz w:val="22"/>
                <w:szCs w:val="22"/>
                <w:lang w:val="es-ES"/>
              </w:rPr>
              <w:drawing>
                <wp:anchor distT="0" distB="0" distL="114300" distR="114300" simplePos="0" relativeHeight="251662336" behindDoc="0" locked="0" layoutInCell="1" allowOverlap="1" wp14:anchorId="37B963EA" wp14:editId="5ACDEDBD">
                  <wp:simplePos x="0" y="0"/>
                  <wp:positionH relativeFrom="column">
                    <wp:posOffset>804211</wp:posOffset>
                  </wp:positionH>
                  <wp:positionV relativeFrom="paragraph">
                    <wp:posOffset>84222</wp:posOffset>
                  </wp:positionV>
                  <wp:extent cx="172720" cy="165100"/>
                  <wp:effectExtent l="0" t="0" r="5080" b="0"/>
                  <wp:wrapTopAndBottom/>
                  <wp:docPr id="25694539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45399" name="Imagen 25694539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720" cy="165100"/>
                          </a:xfrm>
                          <a:prstGeom prst="rect">
                            <a:avLst/>
                          </a:prstGeom>
                        </pic:spPr>
                      </pic:pic>
                    </a:graphicData>
                  </a:graphic>
                  <wp14:sizeRelH relativeFrom="margin">
                    <wp14:pctWidth>0</wp14:pctWidth>
                  </wp14:sizeRelH>
                  <wp14:sizeRelV relativeFrom="margin">
                    <wp14:pctHeight>0</wp14:pctHeight>
                  </wp14:sizeRelV>
                </wp:anchor>
              </w:drawing>
            </w:r>
          </w:p>
        </w:tc>
      </w:tr>
      <w:tr w:rsidR="00643610" w:rsidRPr="00283E81" w14:paraId="7A10B5AE" w14:textId="77777777" w:rsidTr="00620FD6">
        <w:trPr>
          <w:trHeight w:val="20"/>
        </w:trPr>
        <w:tc>
          <w:tcPr>
            <w:tcW w:w="3256" w:type="dxa"/>
          </w:tcPr>
          <w:p w14:paraId="38016F94"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Revisó Componente Jurídico</w:t>
            </w:r>
          </w:p>
        </w:tc>
        <w:tc>
          <w:tcPr>
            <w:tcW w:w="3006" w:type="dxa"/>
          </w:tcPr>
          <w:p w14:paraId="2A225A88"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02F7DE1D"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7B13A27B" w14:textId="77777777" w:rsidTr="00620FD6">
        <w:trPr>
          <w:trHeight w:val="20"/>
        </w:trPr>
        <w:tc>
          <w:tcPr>
            <w:tcW w:w="3256" w:type="dxa"/>
          </w:tcPr>
          <w:p w14:paraId="6E16C86D"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 xml:space="preserve">Pedro Pablo Avella </w:t>
            </w:r>
          </w:p>
          <w:p w14:paraId="7B13E3DF" w14:textId="77777777" w:rsidR="00643610" w:rsidRPr="00283E81" w:rsidRDefault="00643610" w:rsidP="00CA7FF2">
            <w:pPr>
              <w:jc w:val="center"/>
              <w:rPr>
                <w:rFonts w:ascii="Garamond" w:hAnsi="Garamond"/>
                <w:bCs/>
                <w:sz w:val="22"/>
                <w:szCs w:val="22"/>
                <w:lang w:val="es-ES"/>
              </w:rPr>
            </w:pPr>
            <w:r w:rsidRPr="00283E81">
              <w:rPr>
                <w:rFonts w:ascii="Garamond" w:hAnsi="Garamond"/>
                <w:bCs/>
                <w:sz w:val="22"/>
                <w:szCs w:val="22"/>
                <w:lang w:val="es-ES"/>
              </w:rPr>
              <w:t>Profesional Especializado de Apoyo Despacho</w:t>
            </w:r>
          </w:p>
          <w:p w14:paraId="4519DFF7" w14:textId="77777777" w:rsidR="00643610" w:rsidRPr="00283E81" w:rsidRDefault="00643610" w:rsidP="00CA7FF2">
            <w:pPr>
              <w:jc w:val="center"/>
              <w:rPr>
                <w:rFonts w:ascii="Garamond" w:hAnsi="Garamond"/>
                <w:sz w:val="22"/>
                <w:szCs w:val="22"/>
                <w:lang w:val="es-ES"/>
              </w:rPr>
            </w:pPr>
            <w:r w:rsidRPr="00283E81">
              <w:rPr>
                <w:rFonts w:ascii="Garamond" w:hAnsi="Garamond"/>
                <w:bCs/>
                <w:sz w:val="22"/>
                <w:szCs w:val="22"/>
                <w:lang w:val="es-ES"/>
              </w:rPr>
              <w:lastRenderedPageBreak/>
              <w:t xml:space="preserve">Revisó - </w:t>
            </w:r>
            <w:r w:rsidRPr="00283E81">
              <w:rPr>
                <w:rFonts w:ascii="Garamond" w:hAnsi="Garamond"/>
                <w:sz w:val="22"/>
                <w:szCs w:val="22"/>
                <w:lang w:val="es-ES"/>
              </w:rPr>
              <w:t>Componente Jurídico</w:t>
            </w:r>
          </w:p>
        </w:tc>
        <w:tc>
          <w:tcPr>
            <w:tcW w:w="3006" w:type="dxa"/>
          </w:tcPr>
          <w:p w14:paraId="0CB1ED9C"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lastRenderedPageBreak/>
              <w:t>Fondo de Desarrollo Local de Fontibón – Contratación</w:t>
            </w:r>
          </w:p>
        </w:tc>
        <w:tc>
          <w:tcPr>
            <w:tcW w:w="3132" w:type="dxa"/>
          </w:tcPr>
          <w:p w14:paraId="20F53C36" w14:textId="77777777" w:rsidR="00643610" w:rsidRPr="00283E81" w:rsidRDefault="00643610" w:rsidP="00CA7FF2">
            <w:pPr>
              <w:jc w:val="center"/>
              <w:rPr>
                <w:rFonts w:ascii="Garamond" w:hAnsi="Garamond"/>
                <w:b/>
                <w:sz w:val="22"/>
                <w:szCs w:val="22"/>
                <w:lang w:val="es-ES"/>
              </w:rPr>
            </w:pPr>
          </w:p>
        </w:tc>
      </w:tr>
      <w:bookmarkEnd w:id="89"/>
    </w:tbl>
    <w:p w14:paraId="71481879" w14:textId="77777777" w:rsidR="00643610" w:rsidRPr="00283E81" w:rsidRDefault="00643610" w:rsidP="00111913">
      <w:pPr>
        <w:rPr>
          <w:rFonts w:ascii="Garamond" w:hAnsi="Garamond"/>
          <w:sz w:val="22"/>
          <w:szCs w:val="22"/>
        </w:rPr>
      </w:pPr>
    </w:p>
    <w:sectPr w:rsidR="00643610" w:rsidRPr="00283E81" w:rsidSect="005357B2">
      <w:headerReference w:type="default" r:id="rId23"/>
      <w:footerReference w:type="default" r:id="rId24"/>
      <w:pgSz w:w="12240" w:h="15840"/>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465F9" w14:textId="77777777" w:rsidR="00573863" w:rsidRDefault="00573863">
      <w:r>
        <w:separator/>
      </w:r>
    </w:p>
  </w:endnote>
  <w:endnote w:type="continuationSeparator" w:id="0">
    <w:p w14:paraId="3F7EDA02" w14:textId="77777777" w:rsidR="00573863" w:rsidRDefault="00573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Lohit Hindi">
    <w:altName w:val="MS Gothic"/>
    <w:panose1 w:val="00000000000000000000"/>
    <w:charset w:val="00"/>
    <w:family w:val="roman"/>
    <w:notTrueType/>
    <w:pitch w:val="default"/>
  </w:font>
  <w:font w:name="Liberation Serif">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Calibri"/>
    <w:charset w:val="00"/>
    <w:family w:val="auto"/>
    <w:pitch w:val="variable"/>
    <w:sig w:usb0="800000AF" w:usb1="1001ECEA"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rial,Times New Roman">
    <w:altName w:val="Arial"/>
    <w:charset w:val="00"/>
    <w:family w:val="roman"/>
    <w:pitch w:val="default"/>
  </w:font>
  <w:font w:name="Arial,Calibri">
    <w:altName w:val="Times New Roman"/>
    <w:charset w:val="00"/>
    <w:family w:val="roman"/>
    <w:pitch w:val="default"/>
  </w:font>
  <w:font w:name="BlinkMacSystemFon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C3269" w14:textId="77777777" w:rsidR="00B5469E" w:rsidRDefault="005357B2" w:rsidP="005357B2">
    <w:pPr>
      <w:jc w:val="right"/>
      <w:rPr>
        <w:rStyle w:val="Nmerodepgina"/>
        <w:rFonts w:ascii="Garamond" w:hAnsi="Garamond" w:cs="Arial"/>
        <w:sz w:val="16"/>
        <w:szCs w:val="16"/>
      </w:rPr>
    </w:pPr>
    <w:r w:rsidRPr="00B85875">
      <w:rPr>
        <w:color w:val="000000"/>
      </w:rPr>
      <w:tab/>
      <w:t xml:space="preserve">                                                 </w:t>
    </w:r>
    <w:r>
      <w:rPr>
        <w:color w:val="000000"/>
      </w:rPr>
      <w:tab/>
    </w:r>
    <w:r>
      <w:rPr>
        <w:color w:val="000000"/>
      </w:rPr>
      <w:tab/>
    </w:r>
    <w:r>
      <w:rPr>
        <w:color w:val="000000"/>
      </w:rPr>
      <w:tab/>
    </w:r>
    <w:r>
      <w:rPr>
        <w:color w:val="000000"/>
      </w:rPr>
      <w:tab/>
    </w:r>
    <w:r w:rsidR="00B5469E">
      <w:rPr>
        <w:rStyle w:val="Nmerodepgina"/>
        <w:rFonts w:ascii="Garamond" w:hAnsi="Garamond" w:cs="Arial"/>
        <w:sz w:val="16"/>
        <w:szCs w:val="16"/>
      </w:rPr>
      <w:t xml:space="preserve">Página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PAGE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w:t>
    </w:r>
    <w:r w:rsidR="008620D5">
      <w:rPr>
        <w:rStyle w:val="Nmerodepgina"/>
        <w:rFonts w:ascii="Garamond" w:hAnsi="Garamond" w:cs="Arial"/>
        <w:sz w:val="16"/>
        <w:szCs w:val="16"/>
      </w:rPr>
      <w:fldChar w:fldCharType="end"/>
    </w:r>
    <w:r w:rsidR="00B5469E">
      <w:rPr>
        <w:rStyle w:val="Nmerodepgina"/>
        <w:rFonts w:ascii="Garamond" w:hAnsi="Garamond" w:cs="Arial"/>
        <w:sz w:val="16"/>
        <w:szCs w:val="16"/>
      </w:rPr>
      <w:t xml:space="preserve"> de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NUMPAGES \* ARABIC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12</w:t>
    </w:r>
    <w:r w:rsidR="008620D5">
      <w:rPr>
        <w:rStyle w:val="Nmerodepgina"/>
        <w:rFonts w:ascii="Garamond" w:hAnsi="Garamond" w:cs="Arial"/>
        <w:sz w:val="16"/>
        <w:szCs w:val="16"/>
      </w:rPr>
      <w:fldChar w:fldCharType="end"/>
    </w:r>
  </w:p>
  <w:p w14:paraId="2FD6E958" w14:textId="5D14CB8C" w:rsidR="005357B2" w:rsidRDefault="005357B2" w:rsidP="005357B2">
    <w:pPr>
      <w:rPr>
        <w:rStyle w:val="Nmerodepgina"/>
        <w:rFonts w:ascii="Garamond" w:hAnsi="Garamond" w:cs="Arial"/>
        <w:sz w:val="16"/>
        <w:szCs w:val="16"/>
      </w:rPr>
    </w:pPr>
  </w:p>
  <w:p w14:paraId="62C2B0E7" w14:textId="01D1B01A" w:rsidR="005357B2" w:rsidRDefault="001419F3" w:rsidP="005357B2">
    <w:pPr>
      <w:jc w:val="center"/>
    </w:pPr>
    <w:r>
      <w:rPr>
        <w:noProof/>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14:paraId="37E226EF" w14:textId="77777777" w:rsidR="005357B2" w:rsidRPr="00E52DAF" w:rsidRDefault="005357B2" w:rsidP="005357B2">
                          <w:pPr>
                            <w:rPr>
                              <w:rFonts w:ascii="Arial" w:hAnsi="Arial" w:cs="Arial"/>
                              <w:sz w:val="16"/>
                              <w:szCs w:val="16"/>
                              <w:lang w:val="es-MX"/>
                            </w:rPr>
                          </w:pPr>
                        </w:p>
                        <w:p w14:paraId="123EE725" w14:textId="77777777" w:rsidR="00F768D0" w:rsidRPr="001419F3" w:rsidRDefault="005357B2"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w:t>
                          </w:r>
                          <w:r w:rsidR="00415617" w:rsidRPr="001419F3">
                            <w:rPr>
                              <w:rFonts w:ascii="Garamond" w:hAnsi="Garamond" w:cs="Arial"/>
                              <w:sz w:val="18"/>
                              <w:szCs w:val="18"/>
                            </w:rPr>
                            <w:t>00</w:t>
                          </w:r>
                          <w:r w:rsidR="00F768D0" w:rsidRPr="001419F3">
                            <w:rPr>
                              <w:rFonts w:ascii="Garamond" w:hAnsi="Garamond" w:cs="Arial"/>
                              <w:sz w:val="18"/>
                              <w:szCs w:val="18"/>
                            </w:rPr>
                            <w:t>7</w:t>
                          </w:r>
                        </w:p>
                        <w:p w14:paraId="66070AE2" w14:textId="3A5569AE" w:rsidR="005357B2" w:rsidRPr="001419F3" w:rsidRDefault="005357B2"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sidR="0092112F">
                            <w:rPr>
                              <w:rFonts w:ascii="Garamond" w:hAnsi="Garamond" w:cs="Arial"/>
                              <w:sz w:val="18"/>
                              <w:szCs w:val="18"/>
                              <w:lang w:val="es-MX"/>
                            </w:rPr>
                            <w:t>0</w:t>
                          </w:r>
                          <w:r w:rsidR="00304F79">
                            <w:rPr>
                              <w:rFonts w:ascii="Garamond" w:hAnsi="Garamond" w:cs="Arial"/>
                              <w:sz w:val="18"/>
                              <w:szCs w:val="18"/>
                              <w:lang w:val="es-MX"/>
                            </w:rPr>
                            <w:t>6</w:t>
                          </w:r>
                        </w:p>
                        <w:p w14:paraId="37396B53" w14:textId="0E994343" w:rsidR="005357B2" w:rsidRPr="00AC1A19" w:rsidRDefault="005357B2" w:rsidP="005357B2">
                          <w:pPr>
                            <w:jc w:val="center"/>
                            <w:rPr>
                              <w:rFonts w:ascii="Garamond" w:hAnsi="Garamond" w:cs="Arial"/>
                              <w:sz w:val="18"/>
                              <w:szCs w:val="18"/>
                              <w:lang w:val="es-MX"/>
                            </w:rPr>
                          </w:pPr>
                          <w:r w:rsidRPr="00AC1A19">
                            <w:rPr>
                              <w:rFonts w:ascii="Garamond" w:hAnsi="Garamond" w:cs="Arial"/>
                              <w:sz w:val="18"/>
                              <w:szCs w:val="18"/>
                              <w:lang w:val="es-MX"/>
                            </w:rPr>
                            <w:t xml:space="preserve">Vigencia: </w:t>
                          </w:r>
                          <w:r w:rsidR="00AC1A19" w:rsidRPr="00AC1A19">
                            <w:rPr>
                              <w:rFonts w:ascii="Garamond" w:hAnsi="Garamond" w:cs="Arial"/>
                              <w:sz w:val="18"/>
                              <w:szCs w:val="18"/>
                              <w:lang w:val="es-MX"/>
                            </w:rPr>
                            <w:t>14</w:t>
                          </w:r>
                          <w:r w:rsidR="007B6BB8" w:rsidRPr="00AC1A19">
                            <w:rPr>
                              <w:rFonts w:ascii="Garamond" w:hAnsi="Garamond" w:cs="Arial"/>
                              <w:sz w:val="18"/>
                              <w:szCs w:val="18"/>
                              <w:lang w:val="es-MX"/>
                            </w:rPr>
                            <w:t xml:space="preserve"> de </w:t>
                          </w:r>
                          <w:r w:rsidR="0092112F" w:rsidRPr="00AC1A19">
                            <w:rPr>
                              <w:rFonts w:ascii="Garamond" w:hAnsi="Garamond" w:cs="Arial"/>
                              <w:sz w:val="18"/>
                              <w:szCs w:val="18"/>
                              <w:lang w:val="es-MX"/>
                            </w:rPr>
                            <w:t>septiembre</w:t>
                          </w:r>
                          <w:r w:rsidR="007B6BB8" w:rsidRPr="00AC1A19">
                            <w:rPr>
                              <w:rFonts w:ascii="Garamond" w:hAnsi="Garamond" w:cs="Arial"/>
                              <w:sz w:val="18"/>
                              <w:szCs w:val="18"/>
                              <w:lang w:val="es-MX"/>
                            </w:rPr>
                            <w:t xml:space="preserve"> de 202</w:t>
                          </w:r>
                          <w:r w:rsidR="00304F79" w:rsidRPr="00AC1A19">
                            <w:rPr>
                              <w:rFonts w:ascii="Garamond" w:hAnsi="Garamond" w:cs="Arial"/>
                              <w:sz w:val="18"/>
                              <w:szCs w:val="18"/>
                              <w:lang w:val="es-MX"/>
                            </w:rPr>
                            <w:t>3</w:t>
                          </w:r>
                        </w:p>
                        <w:p w14:paraId="30D72638" w14:textId="14E15414" w:rsidR="005357B2" w:rsidRPr="001419F3" w:rsidRDefault="005357B2" w:rsidP="005357B2">
                          <w:pPr>
                            <w:jc w:val="center"/>
                            <w:rPr>
                              <w:rFonts w:ascii="Garamond" w:hAnsi="Garamond" w:cs="Arial"/>
                              <w:sz w:val="18"/>
                              <w:szCs w:val="18"/>
                              <w:lang w:val="es-MX"/>
                            </w:rPr>
                          </w:pPr>
                          <w:r w:rsidRPr="00AC1A19">
                            <w:rPr>
                              <w:rFonts w:ascii="Garamond" w:hAnsi="Garamond" w:cs="Arial"/>
                              <w:sz w:val="18"/>
                              <w:szCs w:val="18"/>
                              <w:lang w:val="es-MX"/>
                            </w:rPr>
                            <w:t>Caso Hola No</w:t>
                          </w:r>
                          <w:r w:rsidR="00444327" w:rsidRPr="00AC1A19">
                            <w:rPr>
                              <w:rFonts w:ascii="Garamond" w:hAnsi="Garamond" w:cs="Arial"/>
                              <w:sz w:val="18"/>
                              <w:szCs w:val="18"/>
                              <w:lang w:val="es-MX"/>
                            </w:rPr>
                            <w:t xml:space="preserve">. </w:t>
                          </w:r>
                          <w:r w:rsidR="00AC1A19" w:rsidRPr="00AC1A19">
                            <w:rPr>
                              <w:rFonts w:ascii="Garamond" w:hAnsi="Garamond" w:cs="Arial"/>
                              <w:sz w:val="18"/>
                              <w:szCs w:val="18"/>
                              <w:lang w:val="es-MX"/>
                            </w:rPr>
                            <w:t>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7"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KG+QEAANIDAAAOAAAAZHJzL2Uyb0RvYy54bWysU1GO0zAQ/UfiDpb/aZKybWnUdIV2VYS0&#10;wIqFAziOk1gkHjN2m5TbcJa9GGOn2y3wh/CH5fGMn+c9P2+ux75jB4VOgyl4Nks5U0ZCpU1T8K9f&#10;dq/ecOa8MJXowKiCH5Xj19uXLzaDzdUcWugqhYxAjMsHW/DWe5sniZOt6oWbgVWGkjVgLzyF2CQV&#10;ioHQ+y6Zp+kyGQAriyCVc7R7OyX5NuLXtZL+U1075VlXcOrNxxnjXIY52W5E3qCwrZanNsQ/dNEL&#10;bejSM9St8ILtUf8F1WuJ4KD2Mwl9AnWtpYociE2W/sHmoRVWRS4kjrNnmdz/g5UfD/fIdFXwFWdG&#10;9PREn0m0x5+m2XfAVkGgwbqc6h7sPQaKzt6B/OYokfyWCYGjGlYOH6AiILH3EEUZa+zDSaLLxqj9&#10;8ay9Gj2TtJmt1sv1esGZpFyWLq6yxSJcnoj86bhF598p6FlYFBypzwgvDnfOT6VPJbFP6HS1010X&#10;A2zKmw7ZQZARdnGc0N1lWWdCsYFwbEIMO5FnoDZp4cdypGTgW0J1JMYIk7HoI9CiBfzB2UCmKrj7&#10;vheoOOveG3q19TxdBRfG4Gr5ekEBXmbKy4wwkqAK7jmbljd+cu7eom5auimL/A28JaVrHTV47urU&#10;NxknqngyeXDmZRyrnr/i9hcAAAD//wMAUEsDBBQABgAIAAAAIQBD2kwE3wAAAAkBAAAPAAAAZHJz&#10;L2Rvd25yZXYueG1sTI9Ba8JAEIXvhf6HZQq91U0rJiZmI6UghSqCtgje1uyYhGZnQ3bV9N87Pelt&#10;Hu/jzXv5fLCtOGPvG0cKXkcRCKTSmYYqBT/fi5cpCB80Gd06QgV/6GFePD7kOjPuQhs8b0MlOIR8&#10;phXUIXSZlL6s0Wo/ch0Se0fXWx1Y9pU0vb5wuG3lWxTF0uqG+EOtO/yosfzdnqyCr6Q8Llfr8Sok&#10;6b4Ke7lbfi6sUs9Pw/sMRMAh3GD4r8/VoeBOB3ci40WrYJzEE0b54AXsx5OU9YHBOJ2CLHJ5v6C4&#10;AgAA//8DAFBLAQItABQABgAIAAAAIQC2gziS/gAAAOEBAAATAAAAAAAAAAAAAAAAAAAAAABbQ29u&#10;dGVudF9UeXBlc10ueG1sUEsBAi0AFAAGAAgAAAAhADj9If/WAAAAlAEAAAsAAAAAAAAAAAAAAAAA&#10;LwEAAF9yZWxzLy5yZWxzUEsBAi0AFAAGAAgAAAAhAMc2Yob5AQAA0gMAAA4AAAAAAAAAAAAAAAAA&#10;LgIAAGRycy9lMm9Eb2MueG1sUEsBAi0AFAAGAAgAAAAhAEPaTATfAAAACQEAAA8AAAAAAAAAAAAA&#10;AAAAUwQAAGRycy9kb3ducmV2LnhtbFBLBQYAAAAABAAEAPMAAABfBQAAAAA=&#10;" stroked="f">
              <v:textbox inset="2.5575mm,1.2875mm,2.5575mm,1.2875mm">
                <w:txbxContent>
                  <w:p w14:paraId="37E226EF" w14:textId="77777777" w:rsidR="005357B2" w:rsidRPr="00E52DAF" w:rsidRDefault="005357B2" w:rsidP="005357B2">
                    <w:pPr>
                      <w:rPr>
                        <w:rFonts w:ascii="Arial" w:hAnsi="Arial" w:cs="Arial"/>
                        <w:sz w:val="16"/>
                        <w:szCs w:val="16"/>
                        <w:lang w:val="es-MX"/>
                      </w:rPr>
                    </w:pPr>
                  </w:p>
                  <w:p w14:paraId="123EE725" w14:textId="77777777" w:rsidR="00F768D0" w:rsidRPr="001419F3" w:rsidRDefault="005357B2"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w:t>
                    </w:r>
                    <w:r w:rsidR="00415617" w:rsidRPr="001419F3">
                      <w:rPr>
                        <w:rFonts w:ascii="Garamond" w:hAnsi="Garamond" w:cs="Arial"/>
                        <w:sz w:val="18"/>
                        <w:szCs w:val="18"/>
                      </w:rPr>
                      <w:t>00</w:t>
                    </w:r>
                    <w:r w:rsidR="00F768D0" w:rsidRPr="001419F3">
                      <w:rPr>
                        <w:rFonts w:ascii="Garamond" w:hAnsi="Garamond" w:cs="Arial"/>
                        <w:sz w:val="18"/>
                        <w:szCs w:val="18"/>
                      </w:rPr>
                      <w:t>7</w:t>
                    </w:r>
                  </w:p>
                  <w:p w14:paraId="66070AE2" w14:textId="3A5569AE" w:rsidR="005357B2" w:rsidRPr="001419F3" w:rsidRDefault="005357B2"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sidR="0092112F">
                      <w:rPr>
                        <w:rFonts w:ascii="Garamond" w:hAnsi="Garamond" w:cs="Arial"/>
                        <w:sz w:val="18"/>
                        <w:szCs w:val="18"/>
                        <w:lang w:val="es-MX"/>
                      </w:rPr>
                      <w:t>0</w:t>
                    </w:r>
                    <w:r w:rsidR="00304F79">
                      <w:rPr>
                        <w:rFonts w:ascii="Garamond" w:hAnsi="Garamond" w:cs="Arial"/>
                        <w:sz w:val="18"/>
                        <w:szCs w:val="18"/>
                        <w:lang w:val="es-MX"/>
                      </w:rPr>
                      <w:t>6</w:t>
                    </w:r>
                  </w:p>
                  <w:p w14:paraId="37396B53" w14:textId="0E994343" w:rsidR="005357B2" w:rsidRPr="00AC1A19" w:rsidRDefault="005357B2" w:rsidP="005357B2">
                    <w:pPr>
                      <w:jc w:val="center"/>
                      <w:rPr>
                        <w:rFonts w:ascii="Garamond" w:hAnsi="Garamond" w:cs="Arial"/>
                        <w:sz w:val="18"/>
                        <w:szCs w:val="18"/>
                        <w:lang w:val="es-MX"/>
                      </w:rPr>
                    </w:pPr>
                    <w:r w:rsidRPr="00AC1A19">
                      <w:rPr>
                        <w:rFonts w:ascii="Garamond" w:hAnsi="Garamond" w:cs="Arial"/>
                        <w:sz w:val="18"/>
                        <w:szCs w:val="18"/>
                        <w:lang w:val="es-MX"/>
                      </w:rPr>
                      <w:t xml:space="preserve">Vigencia: </w:t>
                    </w:r>
                    <w:r w:rsidR="00AC1A19" w:rsidRPr="00AC1A19">
                      <w:rPr>
                        <w:rFonts w:ascii="Garamond" w:hAnsi="Garamond" w:cs="Arial"/>
                        <w:sz w:val="18"/>
                        <w:szCs w:val="18"/>
                        <w:lang w:val="es-MX"/>
                      </w:rPr>
                      <w:t>14</w:t>
                    </w:r>
                    <w:r w:rsidR="007B6BB8" w:rsidRPr="00AC1A19">
                      <w:rPr>
                        <w:rFonts w:ascii="Garamond" w:hAnsi="Garamond" w:cs="Arial"/>
                        <w:sz w:val="18"/>
                        <w:szCs w:val="18"/>
                        <w:lang w:val="es-MX"/>
                      </w:rPr>
                      <w:t xml:space="preserve"> de </w:t>
                    </w:r>
                    <w:r w:rsidR="0092112F" w:rsidRPr="00AC1A19">
                      <w:rPr>
                        <w:rFonts w:ascii="Garamond" w:hAnsi="Garamond" w:cs="Arial"/>
                        <w:sz w:val="18"/>
                        <w:szCs w:val="18"/>
                        <w:lang w:val="es-MX"/>
                      </w:rPr>
                      <w:t>septiembre</w:t>
                    </w:r>
                    <w:r w:rsidR="007B6BB8" w:rsidRPr="00AC1A19">
                      <w:rPr>
                        <w:rFonts w:ascii="Garamond" w:hAnsi="Garamond" w:cs="Arial"/>
                        <w:sz w:val="18"/>
                        <w:szCs w:val="18"/>
                        <w:lang w:val="es-MX"/>
                      </w:rPr>
                      <w:t xml:space="preserve"> de 202</w:t>
                    </w:r>
                    <w:r w:rsidR="00304F79" w:rsidRPr="00AC1A19">
                      <w:rPr>
                        <w:rFonts w:ascii="Garamond" w:hAnsi="Garamond" w:cs="Arial"/>
                        <w:sz w:val="18"/>
                        <w:szCs w:val="18"/>
                        <w:lang w:val="es-MX"/>
                      </w:rPr>
                      <w:t>3</w:t>
                    </w:r>
                  </w:p>
                  <w:p w14:paraId="30D72638" w14:textId="14E15414" w:rsidR="005357B2" w:rsidRPr="001419F3" w:rsidRDefault="005357B2" w:rsidP="005357B2">
                    <w:pPr>
                      <w:jc w:val="center"/>
                      <w:rPr>
                        <w:rFonts w:ascii="Garamond" w:hAnsi="Garamond" w:cs="Arial"/>
                        <w:sz w:val="18"/>
                        <w:szCs w:val="18"/>
                        <w:lang w:val="es-MX"/>
                      </w:rPr>
                    </w:pPr>
                    <w:r w:rsidRPr="00AC1A19">
                      <w:rPr>
                        <w:rFonts w:ascii="Garamond" w:hAnsi="Garamond" w:cs="Arial"/>
                        <w:sz w:val="18"/>
                        <w:szCs w:val="18"/>
                        <w:lang w:val="es-MX"/>
                      </w:rPr>
                      <w:t>Caso Hola No</w:t>
                    </w:r>
                    <w:r w:rsidR="00444327" w:rsidRPr="00AC1A19">
                      <w:rPr>
                        <w:rFonts w:ascii="Garamond" w:hAnsi="Garamond" w:cs="Arial"/>
                        <w:sz w:val="18"/>
                        <w:szCs w:val="18"/>
                        <w:lang w:val="es-MX"/>
                      </w:rPr>
                      <w:t xml:space="preserve">. </w:t>
                    </w:r>
                    <w:r w:rsidR="00AC1A19" w:rsidRPr="00AC1A19">
                      <w:rPr>
                        <w:rFonts w:ascii="Garamond" w:hAnsi="Garamond" w:cs="Arial"/>
                        <w:sz w:val="18"/>
                        <w:szCs w:val="18"/>
                        <w:lang w:val="es-MX"/>
                      </w:rPr>
                      <w:t>343604</w:t>
                    </w:r>
                  </w:p>
                </w:txbxContent>
              </v:textbox>
            </v:rect>
          </w:pict>
        </mc:Fallback>
      </mc:AlternateContent>
    </w:r>
    <w:r w:rsidR="00415617">
      <w:rPr>
        <w:noProof/>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w:pict w14:anchorId="078C01DF">
            <v:line id="Conector recto 4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windowText" strokeweight=".5pt" from="119.7pt,6.1pt" to="119.7pt,66.1pt" w14:anchorId="766987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v:stroke joinstyle="miter"/>
              <o:lock v:ext="edit" shapetype="f"/>
            </v:line>
          </w:pict>
        </mc:Fallback>
      </mc:AlternateContent>
    </w:r>
    <w:r w:rsidR="00BC5C9F">
      <w:rPr>
        <w:noProof/>
        <w:lang w:eastAsia="es-CO"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sidR="00415617">
      <w:rPr>
        <w:noProof/>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14:paraId="14F8EE17" w14:textId="190AF334" w:rsidR="005357B2" w:rsidRPr="005357B2" w:rsidRDefault="005357B2" w:rsidP="005357B2">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8"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KxE/QEAANgDAAAOAAAAZHJzL2Uyb0RvYy54bWysU1GO0zAQ/UfiDpb/adLCdkvUdIV2VYS0&#10;wIqFAziOk1g4HjN2m5TbcJa9GGOnLQX+EPmwPJ7xy3tvxuubsTdsr9BrsCWfz3LOlJVQa9uW/Mvn&#10;7YsVZz4IWwsDVpX8oDy/2Tx/th5coRbQgakVMgKxvhhcybsQXJFlXnaqF34GTllKNoC9CBRim9Uo&#10;BkLvTbbI82U2ANYOQSrv6fRuSvJNwm8aJcPHpvEqMFNy4hbSimmt4ppt1qJoUbhOyyMN8Q8seqEt&#10;/fQMdSeCYDvUf0H1WiJ4aMJMQp9B02ipkgZSM8//UPPYCaeSFjLHu7NN/v/Byg/7B2S6LvmSMyt6&#10;atEnMu3ph213BtgyGjQ4X1Ddo3vAKNG7e5BfPSWy3zIx8FTDquE91AQkdgGSKWODfbxJctmYvD+c&#10;vVdjYJIO56vFapVTiyTlrpfU29ScTBSn2w59eKugZ3FTciSaCV3s732IbERxKkk0weh6q41JAbbV&#10;rUG2FzQH2/RFZXTFX5YZG4stxGtTOp4kmVHZZEUYqzE5Nj+ZU0F9IN0I03jRc6BNB/ids4FGq+T+&#10;206g4sy8s9S714v8+opmMQWvli+vKMDLTHWZEVYSVMkDZ9P2Nkzzu3Oo247+NE82WHhDfjc6WRF7&#10;MbE60qfxSXKPox7n8zJOVb8e5OYnAAAA//8DAFBLAwQUAAYACAAAACEAnUOpS9sAAAAHAQAADwAA&#10;AGRycy9kb3ducmV2LnhtbEyPwUrEMBCG74LvEEbwIm5qhVJq06UsyO5BFHcFr9lmbEuTSWmybX17&#10;x5Me5/uHf74pt6uzYsYp9J4UPGwSEEiNNz21Cj5Oz/c5iBA1GW09oYJvDLCtrq9KXRi/0DvOx9gK&#10;LqFQaAVdjGMhZWg6dDps/IjE2ZefnI48Tq00k1643FmZJkkmne6JL3R6xF2HzXC8OAUvr6ttl/3n&#10;3Zzt3+Z6dxgOdTYodXuz1k8gIq7xbxl+9VkdKnY6+wuZIKwCfiQyTVMQnKZ5zuDM4JGJrEr537/6&#10;AQAA//8DAFBLAQItABQABgAIAAAAIQC2gziS/gAAAOEBAAATAAAAAAAAAAAAAAAAAAAAAABbQ29u&#10;dGVudF9UeXBlc10ueG1sUEsBAi0AFAAGAAgAAAAhADj9If/WAAAAlAEAAAsAAAAAAAAAAAAAAAAA&#10;LwEAAF9yZWxzLy5yZWxzUEsBAi0AFAAGAAgAAAAhAGJUrET9AQAA2AMAAA4AAAAAAAAAAAAAAAAA&#10;LgIAAGRycy9lMm9Eb2MueG1sUEsBAi0AFAAGAAgAAAAhAJ1DqUvbAAAABwEAAA8AAAAAAAAAAAAA&#10;AAAAVwQAAGRycy9kb3ducmV2LnhtbFBLBQYAAAAABAAEAPMAAABfBQAAAAA=&#10;" stroked="f">
              <v:textbox inset="7.25pt,3.65pt,7.25pt,3.65pt">
                <w:txbxContent>
                  <w:p w14:paraId="14F8EE17" w14:textId="190AF334" w:rsidR="005357B2" w:rsidRPr="005357B2" w:rsidRDefault="005357B2" w:rsidP="005357B2">
                    <w:pPr>
                      <w:rPr>
                        <w:rFonts w:ascii="Garamond" w:hAnsi="Garamond"/>
                        <w:sz w:val="16"/>
                        <w:szCs w:val="16"/>
                        <w:lang w:val="es-MX"/>
                      </w:rPr>
                    </w:pPr>
                  </w:p>
                </w:txbxContent>
              </v:textbox>
            </v:rect>
          </w:pict>
        </mc:Fallback>
      </mc:AlternateContent>
    </w:r>
  </w:p>
  <w:p w14:paraId="62098940" w14:textId="0E1BD56B" w:rsidR="00B5469E" w:rsidRDefault="00B5469E">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3C3F2" w14:textId="77777777" w:rsidR="00573863" w:rsidRDefault="00573863">
      <w:r>
        <w:rPr>
          <w:color w:val="000000"/>
        </w:rPr>
        <w:separator/>
      </w:r>
    </w:p>
  </w:footnote>
  <w:footnote w:type="continuationSeparator" w:id="0">
    <w:p w14:paraId="37455EE3" w14:textId="77777777" w:rsidR="00573863" w:rsidRDefault="00573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FA38B" w14:textId="77777777" w:rsidR="006154DE" w:rsidRDefault="006154DE" w:rsidP="006154DE">
    <w:pPr>
      <w:pStyle w:val="Standard"/>
      <w:jc w:val="center"/>
      <w:rPr>
        <w:rFonts w:ascii="Garamond" w:hAnsi="Garamond" w:cs="Arial"/>
        <w:b/>
        <w:sz w:val="24"/>
        <w:szCs w:val="24"/>
      </w:rPr>
    </w:pPr>
  </w:p>
  <w:p w14:paraId="12E1FD8A" w14:textId="77777777" w:rsidR="006154DE" w:rsidRDefault="006154DE" w:rsidP="006154DE">
    <w:pPr>
      <w:pStyle w:val="Standard"/>
      <w:jc w:val="center"/>
      <w:rPr>
        <w:rFonts w:ascii="Garamond" w:hAnsi="Garamond" w:cs="Arial"/>
        <w:b/>
        <w:sz w:val="24"/>
        <w:szCs w:val="24"/>
      </w:rPr>
    </w:pPr>
    <w:r w:rsidRPr="00964DFF">
      <w:rPr>
        <w:noProof/>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85C25" w14:textId="62E55B96" w:rsidR="006154DE" w:rsidRDefault="006154DE" w:rsidP="006154DE">
    <w:pPr>
      <w:pStyle w:val="Standard"/>
      <w:spacing w:line="360" w:lineRule="auto"/>
      <w:jc w:val="center"/>
      <w:rPr>
        <w:rFonts w:ascii="Garamond" w:hAnsi="Garamond" w:cs="Arial"/>
        <w:b/>
        <w:sz w:val="24"/>
        <w:szCs w:val="24"/>
      </w:rPr>
    </w:pPr>
    <w:r>
      <w:rPr>
        <w:rFonts w:ascii="Garamond" w:hAnsi="Garamond" w:cs="Arial"/>
        <w:b/>
        <w:sz w:val="24"/>
        <w:szCs w:val="24"/>
      </w:rPr>
      <w:t>ESTUDIOS PREVIOS</w:t>
    </w:r>
  </w:p>
  <w:p w14:paraId="5B83B615" w14:textId="4E48F977" w:rsidR="006154DE" w:rsidRDefault="006154DE" w:rsidP="006154DE">
    <w:pPr>
      <w:pStyle w:val="Standard"/>
      <w:spacing w:line="360" w:lineRule="auto"/>
      <w:jc w:val="center"/>
      <w:rPr>
        <w:rFonts w:ascii="Garamond" w:hAnsi="Garamond" w:cs="Arial"/>
        <w:b/>
        <w:sz w:val="24"/>
        <w:szCs w:val="24"/>
      </w:rPr>
    </w:pPr>
    <w:r>
      <w:rPr>
        <w:rFonts w:ascii="Garamond" w:hAnsi="Garamond" w:cs="Arial"/>
        <w:b/>
        <w:sz w:val="24"/>
        <w:szCs w:val="24"/>
      </w:rPr>
      <w:t>SELECCIÓN ABREVIADA DE MENOR CUANTÍA</w:t>
    </w:r>
  </w:p>
  <w:p w14:paraId="66ED17C6" w14:textId="6B667F04" w:rsidR="006154DE" w:rsidRPr="0092112F" w:rsidRDefault="006154DE" w:rsidP="006154DE">
    <w:pPr>
      <w:pStyle w:val="Standard"/>
      <w:tabs>
        <w:tab w:val="left" w:pos="2131"/>
        <w:tab w:val="center" w:pos="4702"/>
      </w:tabs>
      <w:spacing w:line="360" w:lineRule="auto"/>
      <w:jc w:val="center"/>
      <w:rPr>
        <w:rFonts w:ascii="Garamond" w:hAnsi="Garamond" w:cs="Arial"/>
        <w:b/>
        <w:color w:val="808080" w:themeColor="background1" w:themeShade="80"/>
        <w:sz w:val="22"/>
        <w:szCs w:val="22"/>
      </w:rPr>
    </w:pPr>
    <w:r w:rsidRPr="0092112F">
      <w:rPr>
        <w:rFonts w:ascii="Garamond" w:hAnsi="Garamond" w:cs="Arial"/>
        <w:b/>
        <w:color w:val="808080" w:themeColor="background1" w:themeShade="80"/>
        <w:sz w:val="22"/>
        <w:szCs w:val="22"/>
      </w:rPr>
      <w:t xml:space="preserve">&gt;&gt;ALCALDÍA LOCAL DE </w:t>
    </w:r>
    <w:r w:rsidR="00BE1C0D">
      <w:rPr>
        <w:rFonts w:ascii="Garamond" w:hAnsi="Garamond" w:cs="Arial"/>
        <w:b/>
        <w:color w:val="808080" w:themeColor="background1" w:themeShade="80"/>
        <w:sz w:val="22"/>
        <w:szCs w:val="22"/>
      </w:rPr>
      <w:t>FONTIBÓN</w:t>
    </w:r>
    <w:r w:rsidRPr="0092112F">
      <w:rPr>
        <w:rFonts w:ascii="Garamond" w:hAnsi="Garamond" w:cs="Arial"/>
        <w:b/>
        <w:color w:val="808080" w:themeColor="background1" w:themeShade="80"/>
        <w:sz w:val="22"/>
        <w:szCs w:val="22"/>
      </w:rPr>
      <w:t>&lt;&lt;</w:t>
    </w:r>
  </w:p>
  <w:p w14:paraId="5E213749" w14:textId="6BEEDA6F" w:rsidR="00B5469E" w:rsidRDefault="00B5469E">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7899"/>
    <w:multiLevelType w:val="multilevel"/>
    <w:tmpl w:val="C9984D28"/>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5851ED"/>
    <w:multiLevelType w:val="multilevel"/>
    <w:tmpl w:val="7F5A0E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0AE51AD"/>
    <w:multiLevelType w:val="hybridMultilevel"/>
    <w:tmpl w:val="1B3E71E2"/>
    <w:lvl w:ilvl="0" w:tplc="7C10D45C">
      <w:start w:val="1"/>
      <w:numFmt w:val="decimal"/>
      <w:pStyle w:val="Capitulo8"/>
      <w:lvlText w:val="8.%1."/>
      <w:lvlJc w:val="left"/>
      <w:pPr>
        <w:ind w:left="1004" w:hanging="360"/>
      </w:pPr>
      <w:rPr>
        <w:rFonts w:hint="default"/>
        <w:color w:val="auto"/>
      </w:rPr>
    </w:lvl>
    <w:lvl w:ilvl="1" w:tplc="240A0019">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 w15:restartNumberingAfterBreak="0">
    <w:nsid w:val="00CB2647"/>
    <w:multiLevelType w:val="multilevel"/>
    <w:tmpl w:val="6E0415B0"/>
    <w:lvl w:ilvl="0">
      <w:start w:val="1"/>
      <w:numFmt w:val="decimal"/>
      <w:lvlText w:val="4.%1"/>
      <w:lvlJc w:val="left"/>
      <w:pPr>
        <w:ind w:left="360" w:hanging="360"/>
      </w:pPr>
    </w:lvl>
    <w:lvl w:ilvl="1">
      <w:start w:val="1"/>
      <w:numFmt w:val="upperLetter"/>
      <w:lvlText w:val="%2."/>
      <w:lvlJc w:val="left"/>
      <w:pPr>
        <w:ind w:left="720" w:hanging="360"/>
      </w:pPr>
    </w:lvl>
    <w:lvl w:ilvl="2">
      <w:start w:val="1"/>
      <w:numFmt w:val="upperLetter"/>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18656FD"/>
    <w:multiLevelType w:val="hybridMultilevel"/>
    <w:tmpl w:val="289C3914"/>
    <w:lvl w:ilvl="0" w:tplc="0FEA044A">
      <w:start w:val="1"/>
      <w:numFmt w:val="decimal"/>
      <w:lvlText w:val="%1."/>
      <w:lvlJc w:val="left"/>
      <w:pPr>
        <w:ind w:left="720" w:hanging="360"/>
      </w:pPr>
    </w:lvl>
    <w:lvl w:ilvl="1" w:tplc="EBFCDAAC">
      <w:start w:val="1"/>
      <w:numFmt w:val="lowerLetter"/>
      <w:lvlText w:val="%2."/>
      <w:lvlJc w:val="left"/>
      <w:pPr>
        <w:ind w:left="1440" w:hanging="360"/>
      </w:pPr>
    </w:lvl>
    <w:lvl w:ilvl="2" w:tplc="930EF5B0">
      <w:start w:val="1"/>
      <w:numFmt w:val="lowerRoman"/>
      <w:lvlText w:val="%3."/>
      <w:lvlJc w:val="right"/>
      <w:pPr>
        <w:ind w:left="2160" w:hanging="180"/>
      </w:pPr>
    </w:lvl>
    <w:lvl w:ilvl="3" w:tplc="14763496">
      <w:start w:val="1"/>
      <w:numFmt w:val="decimal"/>
      <w:lvlText w:val="%4."/>
      <w:lvlJc w:val="left"/>
      <w:pPr>
        <w:ind w:left="2880" w:hanging="360"/>
      </w:pPr>
    </w:lvl>
    <w:lvl w:ilvl="4" w:tplc="E8CC697A">
      <w:start w:val="1"/>
      <w:numFmt w:val="lowerLetter"/>
      <w:lvlText w:val="%5."/>
      <w:lvlJc w:val="left"/>
      <w:pPr>
        <w:ind w:left="3600" w:hanging="360"/>
      </w:pPr>
    </w:lvl>
    <w:lvl w:ilvl="5" w:tplc="C61CBEA0">
      <w:start w:val="1"/>
      <w:numFmt w:val="lowerRoman"/>
      <w:lvlText w:val="%6."/>
      <w:lvlJc w:val="right"/>
      <w:pPr>
        <w:ind w:left="4320" w:hanging="180"/>
      </w:pPr>
    </w:lvl>
    <w:lvl w:ilvl="6" w:tplc="8A50C674">
      <w:start w:val="1"/>
      <w:numFmt w:val="decimal"/>
      <w:lvlText w:val="%7."/>
      <w:lvlJc w:val="left"/>
      <w:pPr>
        <w:ind w:left="5040" w:hanging="360"/>
      </w:pPr>
    </w:lvl>
    <w:lvl w:ilvl="7" w:tplc="E082882C">
      <w:start w:val="1"/>
      <w:numFmt w:val="lowerLetter"/>
      <w:lvlText w:val="%8."/>
      <w:lvlJc w:val="left"/>
      <w:pPr>
        <w:ind w:left="5760" w:hanging="360"/>
      </w:pPr>
    </w:lvl>
    <w:lvl w:ilvl="8" w:tplc="5F7811FE">
      <w:start w:val="1"/>
      <w:numFmt w:val="lowerRoman"/>
      <w:lvlText w:val="%9."/>
      <w:lvlJc w:val="right"/>
      <w:pPr>
        <w:ind w:left="6480" w:hanging="180"/>
      </w:pPr>
    </w:lvl>
  </w:abstractNum>
  <w:abstractNum w:abstractNumId="5" w15:restartNumberingAfterBreak="0">
    <w:nsid w:val="021466F9"/>
    <w:multiLevelType w:val="multilevel"/>
    <w:tmpl w:val="6CF680A4"/>
    <w:lvl w:ilvl="0">
      <w:start w:val="5"/>
      <w:numFmt w:val="bullet"/>
      <w:lvlText w:val="-"/>
      <w:lvlJc w:val="left"/>
      <w:pPr>
        <w:ind w:left="720" w:hanging="360"/>
      </w:pPr>
      <w:rPr>
        <w:rFonts w:ascii="Garamond" w:eastAsia="Garamond" w:hAnsi="Garamond" w:cs="Garamond"/>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054E3F6F"/>
    <w:multiLevelType w:val="multilevel"/>
    <w:tmpl w:val="98660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3C62F5"/>
    <w:multiLevelType w:val="multilevel"/>
    <w:tmpl w:val="5E6844B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 w15:restartNumberingAfterBreak="0">
    <w:nsid w:val="09327946"/>
    <w:multiLevelType w:val="multilevel"/>
    <w:tmpl w:val="9A448B02"/>
    <w:lvl w:ilvl="0">
      <w:numFmt w:val="decimal"/>
      <w:pStyle w:val="Captulo9"/>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3" w15:restartNumberingAfterBreak="0">
    <w:nsid w:val="0A2313FB"/>
    <w:multiLevelType w:val="multilevel"/>
    <w:tmpl w:val="50D688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0B8774B1"/>
    <w:multiLevelType w:val="hybridMultilevel"/>
    <w:tmpl w:val="1054C5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0EDD70E4"/>
    <w:multiLevelType w:val="multilevel"/>
    <w:tmpl w:val="33CA24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0442D24"/>
    <w:multiLevelType w:val="multilevel"/>
    <w:tmpl w:val="B41AF78C"/>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4.1.%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1A04EB7"/>
    <w:multiLevelType w:val="multilevel"/>
    <w:tmpl w:val="1D62C1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156E5BE7"/>
    <w:multiLevelType w:val="multilevel"/>
    <w:tmpl w:val="3704237A"/>
    <w:lvl w:ilvl="0">
      <w:start w:val="1"/>
      <w:numFmt w:val="decimal"/>
      <w:pStyle w:val="Captulo7"/>
      <w:lvlText w:val="7.%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1777595C"/>
    <w:multiLevelType w:val="multilevel"/>
    <w:tmpl w:val="A4BE7CF0"/>
    <w:lvl w:ilvl="0">
      <w:start w:val="4"/>
      <w:numFmt w:val="decimal"/>
      <w:lvlText w:val="%1."/>
      <w:lvlJc w:val="left"/>
      <w:pPr>
        <w:ind w:left="500" w:hanging="500"/>
      </w:pPr>
      <w:rPr>
        <w:rFonts w:hint="default"/>
      </w:rPr>
    </w:lvl>
    <w:lvl w:ilvl="1">
      <w:start w:val="2"/>
      <w:numFmt w:val="decimal"/>
      <w:lvlText w:val="%1.%2."/>
      <w:lvlJc w:val="left"/>
      <w:pPr>
        <w:ind w:left="670" w:hanging="500"/>
      </w:pPr>
      <w:rPr>
        <w:rFonts w:hint="default"/>
      </w:rPr>
    </w:lvl>
    <w:lvl w:ilvl="2">
      <w:start w:val="1"/>
      <w:numFmt w:val="decimal"/>
      <w:lvlText w:val="%1.%2.%3."/>
      <w:lvlJc w:val="left"/>
      <w:pPr>
        <w:ind w:left="720" w:hanging="720"/>
      </w:pPr>
      <w:rPr>
        <w:rFonts w:ascii="Arial" w:hAnsi="Arial" w:cs="Arial" w:hint="default"/>
        <w:b/>
        <w:bCs/>
        <w:sz w:val="20"/>
        <w:szCs w:val="20"/>
      </w:rPr>
    </w:lvl>
    <w:lvl w:ilvl="3">
      <w:start w:val="1"/>
      <w:numFmt w:val="decimal"/>
      <w:lvlText w:val="%1.%2.%3.%4."/>
      <w:lvlJc w:val="left"/>
      <w:pPr>
        <w:ind w:left="1230" w:hanging="720"/>
      </w:pPr>
      <w:rPr>
        <w:rFonts w:hint="default"/>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21" w15:restartNumberingAfterBreak="0">
    <w:nsid w:val="1B037F67"/>
    <w:multiLevelType w:val="multilevel"/>
    <w:tmpl w:val="B7B2D64C"/>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1E537A86"/>
    <w:multiLevelType w:val="multilevel"/>
    <w:tmpl w:val="55A65A4C"/>
    <w:lvl w:ilvl="0">
      <w:start w:val="1"/>
      <w:numFmt w:val="lowerLetter"/>
      <w:lvlText w:val="%1."/>
      <w:lvlJc w:val="left"/>
      <w:pPr>
        <w:ind w:left="1776" w:hanging="360"/>
      </w:pPr>
    </w:lvl>
    <w:lvl w:ilvl="1">
      <w:start w:val="1"/>
      <w:numFmt w:val="decimal"/>
      <w:lvlText w:val="%2."/>
      <w:lvlJc w:val="left"/>
      <w:pPr>
        <w:ind w:left="2841" w:hanging="705"/>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4" w15:restartNumberingAfterBreak="0">
    <w:nsid w:val="1F2C0A94"/>
    <w:multiLevelType w:val="hybridMultilevel"/>
    <w:tmpl w:val="5EAEAD2E"/>
    <w:lvl w:ilvl="0" w:tplc="56161F9E">
      <w:start w:val="1"/>
      <w:numFmt w:val="upperLetter"/>
      <w:lvlText w:val="%1."/>
      <w:lvlJc w:val="left"/>
      <w:pPr>
        <w:ind w:left="720" w:hanging="360"/>
      </w:pPr>
      <w:rPr>
        <w:rFonts w:ascii="Arial" w:hAnsi="Arial" w:cs="Arial" w:hint="default"/>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1F4F511B"/>
    <w:multiLevelType w:val="hybridMultilevel"/>
    <w:tmpl w:val="97D45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1F565E77"/>
    <w:multiLevelType w:val="multilevel"/>
    <w:tmpl w:val="97087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22566D79"/>
    <w:multiLevelType w:val="hybridMultilevel"/>
    <w:tmpl w:val="52E0DF1C"/>
    <w:lvl w:ilvl="0" w:tplc="240A0015">
      <w:start w:val="1"/>
      <w:numFmt w:val="upperLetter"/>
      <w:lvlText w:val="%1."/>
      <w:lvlJc w:val="left"/>
      <w:pPr>
        <w:ind w:left="3072" w:hanging="360"/>
      </w:pPr>
    </w:lvl>
    <w:lvl w:ilvl="1" w:tplc="240A0019" w:tentative="1">
      <w:start w:val="1"/>
      <w:numFmt w:val="lowerLetter"/>
      <w:lvlText w:val="%2."/>
      <w:lvlJc w:val="left"/>
      <w:pPr>
        <w:ind w:left="3792" w:hanging="360"/>
      </w:pPr>
    </w:lvl>
    <w:lvl w:ilvl="2" w:tplc="240A001B" w:tentative="1">
      <w:start w:val="1"/>
      <w:numFmt w:val="lowerRoman"/>
      <w:lvlText w:val="%3."/>
      <w:lvlJc w:val="right"/>
      <w:pPr>
        <w:ind w:left="4512" w:hanging="180"/>
      </w:pPr>
    </w:lvl>
    <w:lvl w:ilvl="3" w:tplc="240A000F" w:tentative="1">
      <w:start w:val="1"/>
      <w:numFmt w:val="decimal"/>
      <w:lvlText w:val="%4."/>
      <w:lvlJc w:val="left"/>
      <w:pPr>
        <w:ind w:left="5232" w:hanging="360"/>
      </w:pPr>
    </w:lvl>
    <w:lvl w:ilvl="4" w:tplc="240A0019" w:tentative="1">
      <w:start w:val="1"/>
      <w:numFmt w:val="lowerLetter"/>
      <w:lvlText w:val="%5."/>
      <w:lvlJc w:val="left"/>
      <w:pPr>
        <w:ind w:left="5952" w:hanging="360"/>
      </w:pPr>
    </w:lvl>
    <w:lvl w:ilvl="5" w:tplc="240A001B" w:tentative="1">
      <w:start w:val="1"/>
      <w:numFmt w:val="lowerRoman"/>
      <w:lvlText w:val="%6."/>
      <w:lvlJc w:val="right"/>
      <w:pPr>
        <w:ind w:left="6672" w:hanging="180"/>
      </w:pPr>
    </w:lvl>
    <w:lvl w:ilvl="6" w:tplc="240A000F" w:tentative="1">
      <w:start w:val="1"/>
      <w:numFmt w:val="decimal"/>
      <w:lvlText w:val="%7."/>
      <w:lvlJc w:val="left"/>
      <w:pPr>
        <w:ind w:left="7392" w:hanging="360"/>
      </w:pPr>
    </w:lvl>
    <w:lvl w:ilvl="7" w:tplc="240A0019" w:tentative="1">
      <w:start w:val="1"/>
      <w:numFmt w:val="lowerLetter"/>
      <w:lvlText w:val="%8."/>
      <w:lvlJc w:val="left"/>
      <w:pPr>
        <w:ind w:left="8112" w:hanging="360"/>
      </w:pPr>
    </w:lvl>
    <w:lvl w:ilvl="8" w:tplc="240A001B" w:tentative="1">
      <w:start w:val="1"/>
      <w:numFmt w:val="lowerRoman"/>
      <w:lvlText w:val="%9."/>
      <w:lvlJc w:val="right"/>
      <w:pPr>
        <w:ind w:left="8832" w:hanging="180"/>
      </w:pPr>
    </w:lvl>
  </w:abstractNum>
  <w:abstractNum w:abstractNumId="29" w15:restartNumberingAfterBreak="0">
    <w:nsid w:val="2298628B"/>
    <w:multiLevelType w:val="multilevel"/>
    <w:tmpl w:val="9A7E3AF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4772DFE"/>
    <w:multiLevelType w:val="multilevel"/>
    <w:tmpl w:val="B1A47E58"/>
    <w:lvl w:ilvl="0">
      <w:start w:val="1"/>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1" w15:restartNumberingAfterBreak="0">
    <w:nsid w:val="24AB7F89"/>
    <w:multiLevelType w:val="multilevel"/>
    <w:tmpl w:val="CF5EFCC6"/>
    <w:styleLink w:val="Estilo1"/>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33" w15:restartNumberingAfterBreak="0">
    <w:nsid w:val="289C2B34"/>
    <w:multiLevelType w:val="hybridMultilevel"/>
    <w:tmpl w:val="3B267CDE"/>
    <w:lvl w:ilvl="0" w:tplc="74649CA8">
      <w:start w:val="1"/>
      <w:numFmt w:val="decimal"/>
      <w:pStyle w:val="Capitulo1"/>
      <w:lvlText w:val="1.%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2A4E379C"/>
    <w:multiLevelType w:val="hybridMultilevel"/>
    <w:tmpl w:val="28D4970C"/>
    <w:lvl w:ilvl="0" w:tplc="310030B6">
      <w:start w:val="1"/>
      <w:numFmt w:val="decimal"/>
      <w:pStyle w:val="clusulas"/>
      <w:lvlText w:val="CLÁUSULA %1."/>
      <w:lvlJc w:val="left"/>
      <w:pPr>
        <w:ind w:left="1070" w:hanging="360"/>
      </w:pPr>
      <w:rPr>
        <w:rFonts w:hint="default"/>
        <w:b/>
        <w:color w:val="C4BC96"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2A5540B3"/>
    <w:multiLevelType w:val="multilevel"/>
    <w:tmpl w:val="A28C6226"/>
    <w:lvl w:ilvl="0">
      <w:start w:val="1"/>
      <w:numFmt w:val="decimal"/>
      <w:pStyle w:val="Captulo5"/>
      <w:lvlText w:val="5.%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2B2C0548"/>
    <w:multiLevelType w:val="multilevel"/>
    <w:tmpl w:val="9E6AB0E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38" w15:restartNumberingAfterBreak="0">
    <w:nsid w:val="2BAA45F7"/>
    <w:multiLevelType w:val="hybridMultilevel"/>
    <w:tmpl w:val="B8785494"/>
    <w:lvl w:ilvl="0" w:tplc="369A2F20">
      <w:start w:val="1"/>
      <w:numFmt w:val="decimal"/>
      <w:pStyle w:val="Capitulo3"/>
      <w:lvlText w:val="3.%1."/>
      <w:lvlJc w:val="left"/>
      <w:pPr>
        <w:ind w:left="786" w:hanging="360"/>
      </w:pPr>
      <w:rPr>
        <w:rFonts w:hint="default"/>
        <w:b/>
        <w:color w:val="262626" w:themeColor="text1" w:themeTint="D9"/>
      </w:rPr>
    </w:lvl>
    <w:lvl w:ilvl="1" w:tplc="240A0019" w:tentative="1">
      <w:start w:val="1"/>
      <w:numFmt w:val="lowerLetter"/>
      <w:lvlText w:val="%2."/>
      <w:lvlJc w:val="left"/>
      <w:pPr>
        <w:ind w:left="1724" w:hanging="360"/>
      </w:p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9" w15:restartNumberingAfterBreak="0">
    <w:nsid w:val="2D085561"/>
    <w:multiLevelType w:val="multilevel"/>
    <w:tmpl w:val="807EFFF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2E1F16BB"/>
    <w:multiLevelType w:val="multilevel"/>
    <w:tmpl w:val="532646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2EAF2D92"/>
    <w:multiLevelType w:val="multilevel"/>
    <w:tmpl w:val="0908E59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0920138"/>
    <w:multiLevelType w:val="multilevel"/>
    <w:tmpl w:val="EDCEB51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31C81096"/>
    <w:multiLevelType w:val="multilevel"/>
    <w:tmpl w:val="0D7EF4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324B3073"/>
    <w:multiLevelType w:val="multilevel"/>
    <w:tmpl w:val="F2600658"/>
    <w:lvl w:ilvl="0">
      <w:start w:val="12"/>
      <w:numFmt w:val="decimal"/>
      <w:lvlText w:val="%1"/>
      <w:lvlJc w:val="left"/>
      <w:pPr>
        <w:ind w:left="390" w:hanging="390"/>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5" w15:restartNumberingAfterBreak="0">
    <w:nsid w:val="3365562A"/>
    <w:multiLevelType w:val="multilevel"/>
    <w:tmpl w:val="81843C6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33933EF4"/>
    <w:multiLevelType w:val="multilevel"/>
    <w:tmpl w:val="A0A464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33950A9D"/>
    <w:multiLevelType w:val="multilevel"/>
    <w:tmpl w:val="1B7A92F6"/>
    <w:lvl w:ilvl="0">
      <w:start w:val="2"/>
      <w:numFmt w:val="decimal"/>
      <w:lvlText w:val="%1"/>
      <w:lvlJc w:val="left"/>
      <w:pPr>
        <w:ind w:left="549" w:hanging="291"/>
      </w:pPr>
    </w:lvl>
    <w:lvl w:ilvl="1">
      <w:start w:val="3"/>
      <w:numFmt w:val="decimal"/>
      <w:lvlText w:val="%1.%2"/>
      <w:lvlJc w:val="left"/>
      <w:pPr>
        <w:ind w:left="549" w:hanging="291"/>
      </w:pPr>
      <w:rPr>
        <w:rFonts w:ascii="Garamond" w:eastAsia="Garamond" w:hAnsi="Garamond" w:cs="Garamond"/>
        <w:b/>
        <w:i w:val="0"/>
        <w:sz w:val="20"/>
        <w:szCs w:val="20"/>
      </w:rPr>
    </w:lvl>
    <w:lvl w:ilvl="2">
      <w:start w:val="1"/>
      <w:numFmt w:val="decimal"/>
      <w:lvlText w:val="%1.%2.%3."/>
      <w:lvlJc w:val="left"/>
      <w:pPr>
        <w:ind w:left="733" w:hanging="475"/>
      </w:pPr>
      <w:rPr>
        <w:rFonts w:ascii="Garamond" w:eastAsia="Garamond" w:hAnsi="Garamond" w:cs="Garamond"/>
        <w:b/>
        <w:i w:val="0"/>
        <w:sz w:val="24"/>
        <w:szCs w:val="24"/>
      </w:rPr>
    </w:lvl>
    <w:lvl w:ilvl="3">
      <w:numFmt w:val="bullet"/>
      <w:lvlText w:val="•"/>
      <w:lvlJc w:val="left"/>
      <w:pPr>
        <w:ind w:left="2877" w:hanging="475"/>
      </w:pPr>
    </w:lvl>
    <w:lvl w:ilvl="4">
      <w:numFmt w:val="bullet"/>
      <w:lvlText w:val="•"/>
      <w:lvlJc w:val="left"/>
      <w:pPr>
        <w:ind w:left="3946" w:hanging="475"/>
      </w:pPr>
    </w:lvl>
    <w:lvl w:ilvl="5">
      <w:numFmt w:val="bullet"/>
      <w:lvlText w:val="•"/>
      <w:lvlJc w:val="left"/>
      <w:pPr>
        <w:ind w:left="5015" w:hanging="475"/>
      </w:pPr>
    </w:lvl>
    <w:lvl w:ilvl="6">
      <w:numFmt w:val="bullet"/>
      <w:lvlText w:val="•"/>
      <w:lvlJc w:val="left"/>
      <w:pPr>
        <w:ind w:left="6084" w:hanging="475"/>
      </w:pPr>
    </w:lvl>
    <w:lvl w:ilvl="7">
      <w:numFmt w:val="bullet"/>
      <w:lvlText w:val="•"/>
      <w:lvlJc w:val="left"/>
      <w:pPr>
        <w:ind w:left="7153" w:hanging="475"/>
      </w:pPr>
    </w:lvl>
    <w:lvl w:ilvl="8">
      <w:numFmt w:val="bullet"/>
      <w:lvlText w:val="•"/>
      <w:lvlJc w:val="left"/>
      <w:pPr>
        <w:ind w:left="8222" w:hanging="475"/>
      </w:pPr>
    </w:lvl>
  </w:abstractNum>
  <w:abstractNum w:abstractNumId="48" w15:restartNumberingAfterBreak="0">
    <w:nsid w:val="35263E1E"/>
    <w:multiLevelType w:val="hybridMultilevel"/>
    <w:tmpl w:val="C95C7C7E"/>
    <w:lvl w:ilvl="0" w:tplc="6D90B504">
      <w:start w:val="1"/>
      <w:numFmt w:val="decimal"/>
      <w:lvlText w:val="%1."/>
      <w:lvlJc w:val="left"/>
      <w:pPr>
        <w:ind w:left="1080" w:hanging="360"/>
      </w:pPr>
      <w:rPr>
        <w:rFonts w:hint="default"/>
        <w:b/>
        <w:i w:val="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9" w15:restartNumberingAfterBreak="0">
    <w:nsid w:val="37A916B7"/>
    <w:multiLevelType w:val="multilevel"/>
    <w:tmpl w:val="639012E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37CB2085"/>
    <w:multiLevelType w:val="hybridMultilevel"/>
    <w:tmpl w:val="90FA40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3B5F7D42"/>
    <w:multiLevelType w:val="multilevel"/>
    <w:tmpl w:val="43AC8392"/>
    <w:lvl w:ilvl="0">
      <w:start w:val="1"/>
      <w:numFmt w:val="upperRoman"/>
      <w:lvlText w:val="%1."/>
      <w:lvlJc w:val="right"/>
      <w:pPr>
        <w:ind w:left="1068" w:hanging="360"/>
      </w:pPr>
    </w:lvl>
    <w:lvl w:ilvl="1">
      <w:start w:val="1"/>
      <w:numFmt w:val="upperLetter"/>
      <w:lvlText w:val="%2."/>
      <w:lvlJc w:val="left"/>
      <w:pPr>
        <w:ind w:left="2133" w:hanging="705"/>
      </w:pPr>
    </w:lvl>
    <w:lvl w:ilvl="2">
      <w:start w:val="1"/>
      <w:numFmt w:val="decimal"/>
      <w:lvlText w:val="%3."/>
      <w:lvlJc w:val="left"/>
      <w:pPr>
        <w:ind w:left="2688" w:hanging="36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2"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3" w15:restartNumberingAfterBreak="0">
    <w:nsid w:val="404843CB"/>
    <w:multiLevelType w:val="multilevel"/>
    <w:tmpl w:val="12E6794A"/>
    <w:lvl w:ilvl="0">
      <w:start w:val="1"/>
      <w:numFmt w:val="lowerLetter"/>
      <w:lvlText w:val="%1."/>
      <w:lvlJc w:val="left"/>
      <w:pPr>
        <w:ind w:left="877" w:hanging="361"/>
      </w:pPr>
      <w:rPr>
        <w:rFonts w:ascii="Times New Roman" w:eastAsia="Times New Roman" w:hAnsi="Times New Roman" w:cs="Times New Roman"/>
        <w:b w:val="0"/>
        <w:i w:val="0"/>
        <w:sz w:val="24"/>
        <w:szCs w:val="24"/>
      </w:rPr>
    </w:lvl>
    <w:lvl w:ilvl="1">
      <w:numFmt w:val="bullet"/>
      <w:lvlText w:val="●"/>
      <w:lvlJc w:val="left"/>
      <w:pPr>
        <w:ind w:left="1597" w:hanging="360"/>
      </w:pPr>
      <w:rPr>
        <w:rFonts w:ascii="Noto Sans Symbols" w:eastAsia="Noto Sans Symbols" w:hAnsi="Noto Sans Symbols" w:cs="Noto Sans Symbols"/>
        <w:b w:val="0"/>
        <w:i w:val="0"/>
        <w:sz w:val="24"/>
        <w:szCs w:val="24"/>
      </w:rPr>
    </w:lvl>
    <w:lvl w:ilvl="2">
      <w:numFmt w:val="bullet"/>
      <w:lvlText w:val="•"/>
      <w:lvlJc w:val="left"/>
      <w:pPr>
        <w:ind w:left="2542" w:hanging="360"/>
      </w:pPr>
    </w:lvl>
    <w:lvl w:ilvl="3">
      <w:numFmt w:val="bullet"/>
      <w:lvlText w:val="•"/>
      <w:lvlJc w:val="left"/>
      <w:pPr>
        <w:ind w:left="3484" w:hanging="360"/>
      </w:pPr>
    </w:lvl>
    <w:lvl w:ilvl="4">
      <w:numFmt w:val="bullet"/>
      <w:lvlText w:val="•"/>
      <w:lvlJc w:val="left"/>
      <w:pPr>
        <w:ind w:left="4426" w:hanging="360"/>
      </w:pPr>
    </w:lvl>
    <w:lvl w:ilvl="5">
      <w:numFmt w:val="bullet"/>
      <w:lvlText w:val="•"/>
      <w:lvlJc w:val="left"/>
      <w:pPr>
        <w:ind w:left="5368" w:hanging="360"/>
      </w:pPr>
    </w:lvl>
    <w:lvl w:ilvl="6">
      <w:numFmt w:val="bullet"/>
      <w:lvlText w:val="•"/>
      <w:lvlJc w:val="left"/>
      <w:pPr>
        <w:ind w:left="6311" w:hanging="360"/>
      </w:pPr>
    </w:lvl>
    <w:lvl w:ilvl="7">
      <w:numFmt w:val="bullet"/>
      <w:lvlText w:val="•"/>
      <w:lvlJc w:val="left"/>
      <w:pPr>
        <w:ind w:left="7253" w:hanging="360"/>
      </w:pPr>
    </w:lvl>
    <w:lvl w:ilvl="8">
      <w:numFmt w:val="bullet"/>
      <w:lvlText w:val="•"/>
      <w:lvlJc w:val="left"/>
      <w:pPr>
        <w:ind w:left="8195" w:hanging="360"/>
      </w:pPr>
    </w:lvl>
  </w:abstractNum>
  <w:abstractNum w:abstractNumId="54"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42CC4B31"/>
    <w:multiLevelType w:val="multilevel"/>
    <w:tmpl w:val="97201648"/>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3F13E92"/>
    <w:multiLevelType w:val="multilevel"/>
    <w:tmpl w:val="3A542374"/>
    <w:lvl w:ilvl="0">
      <w:start w:val="1"/>
      <w:numFmt w:val="decimal"/>
      <w:lvlText w:val="%1."/>
      <w:lvlJc w:val="left"/>
      <w:pPr>
        <w:ind w:left="978" w:hanging="360"/>
      </w:pPr>
      <w:rPr>
        <w:rFonts w:ascii="Garamond" w:eastAsia="Garamond" w:hAnsi="Garamond" w:cs="Garamond"/>
        <w:b/>
        <w:bCs/>
        <w:i w:val="0"/>
        <w:sz w:val="24"/>
        <w:szCs w:val="24"/>
      </w:rPr>
    </w:lvl>
    <w:lvl w:ilvl="1">
      <w:numFmt w:val="bullet"/>
      <w:lvlText w:val="●"/>
      <w:lvlJc w:val="left"/>
      <w:pPr>
        <w:ind w:left="978" w:hanging="360"/>
      </w:pPr>
      <w:rPr>
        <w:rFonts w:ascii="Noto Sans Symbols" w:eastAsia="Noto Sans Symbols" w:hAnsi="Noto Sans Symbols" w:cs="Noto Sans Symbols"/>
        <w:b w:val="0"/>
        <w:i w:val="0"/>
        <w:sz w:val="20"/>
        <w:szCs w:val="20"/>
      </w:rPr>
    </w:lvl>
    <w:lvl w:ilvl="2">
      <w:numFmt w:val="bullet"/>
      <w:lvlText w:val="•"/>
      <w:lvlJc w:val="left"/>
      <w:pPr>
        <w:ind w:left="2856" w:hanging="360"/>
      </w:pPr>
    </w:lvl>
    <w:lvl w:ilvl="3">
      <w:numFmt w:val="bullet"/>
      <w:lvlText w:val="•"/>
      <w:lvlJc w:val="left"/>
      <w:pPr>
        <w:ind w:left="3794" w:hanging="360"/>
      </w:pPr>
    </w:lvl>
    <w:lvl w:ilvl="4">
      <w:numFmt w:val="bullet"/>
      <w:lvlText w:val="•"/>
      <w:lvlJc w:val="left"/>
      <w:pPr>
        <w:ind w:left="4732" w:hanging="360"/>
      </w:pPr>
    </w:lvl>
    <w:lvl w:ilvl="5">
      <w:numFmt w:val="bullet"/>
      <w:lvlText w:val="•"/>
      <w:lvlJc w:val="left"/>
      <w:pPr>
        <w:ind w:left="5670" w:hanging="360"/>
      </w:pPr>
    </w:lvl>
    <w:lvl w:ilvl="6">
      <w:numFmt w:val="bullet"/>
      <w:lvlText w:val="•"/>
      <w:lvlJc w:val="left"/>
      <w:pPr>
        <w:ind w:left="6608" w:hanging="360"/>
      </w:pPr>
    </w:lvl>
    <w:lvl w:ilvl="7">
      <w:numFmt w:val="bullet"/>
      <w:lvlText w:val="•"/>
      <w:lvlJc w:val="left"/>
      <w:pPr>
        <w:ind w:left="7546" w:hanging="360"/>
      </w:pPr>
    </w:lvl>
    <w:lvl w:ilvl="8">
      <w:numFmt w:val="bullet"/>
      <w:lvlText w:val="•"/>
      <w:lvlJc w:val="left"/>
      <w:pPr>
        <w:ind w:left="8484" w:hanging="360"/>
      </w:pPr>
    </w:lvl>
  </w:abstractNum>
  <w:abstractNum w:abstractNumId="57" w15:restartNumberingAfterBreak="0">
    <w:nsid w:val="487E5131"/>
    <w:multiLevelType w:val="multilevel"/>
    <w:tmpl w:val="0E74DD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49144840"/>
    <w:multiLevelType w:val="multilevel"/>
    <w:tmpl w:val="02F2359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496F5A63"/>
    <w:multiLevelType w:val="multilevel"/>
    <w:tmpl w:val="B88A0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 w15:restartNumberingAfterBreak="0">
    <w:nsid w:val="4C884E77"/>
    <w:multiLevelType w:val="hybridMultilevel"/>
    <w:tmpl w:val="DA70A3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4C9E1415"/>
    <w:multiLevelType w:val="multilevel"/>
    <w:tmpl w:val="457896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 w15:restartNumberingAfterBreak="0">
    <w:nsid w:val="4F4D0F05"/>
    <w:multiLevelType w:val="multilevel"/>
    <w:tmpl w:val="284EC6A4"/>
    <w:lvl w:ilvl="0">
      <w:start w:val="4"/>
      <w:numFmt w:val="decimal"/>
      <w:lvlText w:val="%1"/>
      <w:lvlJc w:val="left"/>
      <w:pPr>
        <w:ind w:left="440" w:hanging="440"/>
      </w:pPr>
      <w:rPr>
        <w:rFonts w:hint="default"/>
      </w:rPr>
    </w:lvl>
    <w:lvl w:ilvl="1">
      <w:start w:val="3"/>
      <w:numFmt w:val="decimal"/>
      <w:lvlText w:val="%1.%2"/>
      <w:lvlJc w:val="left"/>
      <w:pPr>
        <w:ind w:left="61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val="0"/>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66" w15:restartNumberingAfterBreak="0">
    <w:nsid w:val="4F5371AE"/>
    <w:multiLevelType w:val="hybridMultilevel"/>
    <w:tmpl w:val="F88CA0EC"/>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521373A3"/>
    <w:multiLevelType w:val="hybridMultilevel"/>
    <w:tmpl w:val="9AEA7774"/>
    <w:lvl w:ilvl="0" w:tplc="FFFFFFFF">
      <w:start w:val="1"/>
      <w:numFmt w:val="upperLetter"/>
      <w:lvlText w:val="%1."/>
      <w:lvlJc w:val="left"/>
      <w:pPr>
        <w:ind w:left="1070" w:hanging="710"/>
      </w:pPr>
      <w:rPr>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530A74F2"/>
    <w:multiLevelType w:val="multilevel"/>
    <w:tmpl w:val="4E22C160"/>
    <w:lvl w:ilvl="0">
      <w:start w:val="1"/>
      <w:numFmt w:val="upperRoman"/>
      <w:lvlText w:val="%1."/>
      <w:lvlJc w:val="left"/>
      <w:pPr>
        <w:ind w:left="1428" w:hanging="719"/>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9" w15:restartNumberingAfterBreak="0">
    <w:nsid w:val="550F668C"/>
    <w:multiLevelType w:val="multilevel"/>
    <w:tmpl w:val="A6547BEC"/>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5526476E"/>
    <w:multiLevelType w:val="multilevel"/>
    <w:tmpl w:val="04DCB070"/>
    <w:lvl w:ilvl="0">
      <w:start w:val="1"/>
      <w:numFmt w:val="upperRoman"/>
      <w:lvlText w:val="%1."/>
      <w:lvlJc w:val="left"/>
      <w:pPr>
        <w:ind w:left="1428" w:hanging="719"/>
      </w:pPr>
    </w:lvl>
    <w:lvl w:ilvl="1">
      <w:start w:val="1"/>
      <w:numFmt w:val="upperLetter"/>
      <w:lvlText w:val="%2."/>
      <w:lvlJc w:val="left"/>
      <w:pPr>
        <w:ind w:left="2138" w:hanging="710"/>
      </w:pPr>
    </w:lvl>
    <w:lvl w:ilvl="2">
      <w:start w:val="1"/>
      <w:numFmt w:val="upperLetter"/>
      <w:lvlText w:val="%3-"/>
      <w:lvlJc w:val="left"/>
      <w:pPr>
        <w:ind w:left="2688" w:hanging="36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1" w15:restartNumberingAfterBreak="0">
    <w:nsid w:val="56873435"/>
    <w:multiLevelType w:val="multilevel"/>
    <w:tmpl w:val="3A6A5F2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7B17512"/>
    <w:multiLevelType w:val="multilevel"/>
    <w:tmpl w:val="06C2B2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584D5C18"/>
    <w:multiLevelType w:val="hybridMultilevel"/>
    <w:tmpl w:val="71809744"/>
    <w:lvl w:ilvl="0" w:tplc="B942AC9C">
      <w:start w:val="1"/>
      <w:numFmt w:val="decimal"/>
      <w:lvlText w:val="%1."/>
      <w:lvlJc w:val="left"/>
      <w:pPr>
        <w:ind w:left="360" w:hanging="360"/>
      </w:pPr>
      <w:rPr>
        <w:rFonts w:hint="default"/>
      </w:rPr>
    </w:lvl>
    <w:lvl w:ilvl="1" w:tplc="240A0019">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74" w15:restartNumberingAfterBreak="0">
    <w:nsid w:val="59CF18B5"/>
    <w:multiLevelType w:val="multilevel"/>
    <w:tmpl w:val="2656F4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 w15:restartNumberingAfterBreak="0">
    <w:nsid w:val="5D887237"/>
    <w:multiLevelType w:val="multilevel"/>
    <w:tmpl w:val="018A5E16"/>
    <w:lvl w:ilvl="0">
      <w:start w:val="2"/>
      <w:numFmt w:val="decimal"/>
      <w:lvlText w:val="%1"/>
      <w:lvlJc w:val="left"/>
      <w:pPr>
        <w:ind w:left="534" w:hanging="276"/>
      </w:pPr>
    </w:lvl>
    <w:lvl w:ilvl="1">
      <w:start w:val="1"/>
      <w:numFmt w:val="decimal"/>
      <w:lvlText w:val="%1.%2"/>
      <w:lvlJc w:val="left"/>
      <w:pPr>
        <w:ind w:left="534" w:hanging="276"/>
      </w:pPr>
      <w:rPr>
        <w:rFonts w:ascii="Garamond" w:eastAsia="Garamond" w:hAnsi="Garamond" w:cs="Garamond"/>
        <w:b/>
        <w:i w:val="0"/>
        <w:sz w:val="20"/>
        <w:szCs w:val="20"/>
      </w:rPr>
    </w:lvl>
    <w:lvl w:ilvl="2">
      <w:start w:val="1"/>
      <w:numFmt w:val="decimal"/>
      <w:lvlText w:val="%1.%2.%3."/>
      <w:lvlJc w:val="left"/>
      <w:pPr>
        <w:ind w:left="769" w:hanging="510"/>
      </w:pPr>
      <w:rPr>
        <w:rFonts w:ascii="Garamond" w:eastAsia="Garamond" w:hAnsi="Garamond" w:cs="Garamond"/>
        <w:b/>
        <w:i w:val="0"/>
        <w:sz w:val="24"/>
        <w:szCs w:val="24"/>
      </w:rPr>
    </w:lvl>
    <w:lvl w:ilvl="3">
      <w:numFmt w:val="bullet"/>
      <w:lvlText w:val="•"/>
      <w:lvlJc w:val="left"/>
      <w:pPr>
        <w:ind w:left="2893" w:hanging="511"/>
      </w:pPr>
    </w:lvl>
    <w:lvl w:ilvl="4">
      <w:numFmt w:val="bullet"/>
      <w:lvlText w:val="•"/>
      <w:lvlJc w:val="left"/>
      <w:pPr>
        <w:ind w:left="3960" w:hanging="511"/>
      </w:pPr>
    </w:lvl>
    <w:lvl w:ilvl="5">
      <w:numFmt w:val="bullet"/>
      <w:lvlText w:val="•"/>
      <w:lvlJc w:val="left"/>
      <w:pPr>
        <w:ind w:left="5026" w:hanging="511"/>
      </w:pPr>
    </w:lvl>
    <w:lvl w:ilvl="6">
      <w:numFmt w:val="bullet"/>
      <w:lvlText w:val="•"/>
      <w:lvlJc w:val="left"/>
      <w:pPr>
        <w:ind w:left="6093" w:hanging="511"/>
      </w:pPr>
    </w:lvl>
    <w:lvl w:ilvl="7">
      <w:numFmt w:val="bullet"/>
      <w:lvlText w:val="•"/>
      <w:lvlJc w:val="left"/>
      <w:pPr>
        <w:ind w:left="7160" w:hanging="511"/>
      </w:pPr>
    </w:lvl>
    <w:lvl w:ilvl="8">
      <w:numFmt w:val="bullet"/>
      <w:lvlText w:val="•"/>
      <w:lvlJc w:val="left"/>
      <w:pPr>
        <w:ind w:left="8226" w:hanging="511"/>
      </w:pPr>
    </w:lvl>
  </w:abstractNum>
  <w:abstractNum w:abstractNumId="77" w15:restartNumberingAfterBreak="0">
    <w:nsid w:val="5D9569E8"/>
    <w:multiLevelType w:val="multilevel"/>
    <w:tmpl w:val="1B0A9AF4"/>
    <w:lvl w:ilvl="0">
      <w:start w:val="1"/>
      <w:numFmt w:val="upperLetter"/>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E454B28"/>
    <w:multiLevelType w:val="multilevel"/>
    <w:tmpl w:val="53FC3F4C"/>
    <w:lvl w:ilvl="0">
      <w:start w:val="3"/>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79" w15:restartNumberingAfterBreak="0">
    <w:nsid w:val="5EB80BC6"/>
    <w:multiLevelType w:val="hybridMultilevel"/>
    <w:tmpl w:val="1EF4BD08"/>
    <w:lvl w:ilvl="0" w:tplc="505AF1B8">
      <w:start w:val="1"/>
      <w:numFmt w:val="decimal"/>
      <w:pStyle w:val="Captulo8"/>
      <w:lvlText w:val="8.%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62470BCB"/>
    <w:multiLevelType w:val="multilevel"/>
    <w:tmpl w:val="152A480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 w15:restartNumberingAfterBreak="0">
    <w:nsid w:val="655B1BAD"/>
    <w:multiLevelType w:val="multilevel"/>
    <w:tmpl w:val="EAFC8A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6B902AC"/>
    <w:multiLevelType w:val="multilevel"/>
    <w:tmpl w:val="7AFEFA3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6C309B8"/>
    <w:multiLevelType w:val="multilevel"/>
    <w:tmpl w:val="F9921F66"/>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7847689"/>
    <w:multiLevelType w:val="multilevel"/>
    <w:tmpl w:val="6046D8C8"/>
    <w:lvl w:ilvl="0">
      <w:start w:val="1"/>
      <w:numFmt w:val="upperRoman"/>
      <w:lvlText w:val="%1."/>
      <w:lvlJc w:val="right"/>
      <w:pPr>
        <w:ind w:left="1440" w:hanging="360"/>
      </w:pPr>
    </w:lvl>
    <w:lvl w:ilvl="1">
      <w:start w:val="3"/>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6" w15:restartNumberingAfterBreak="0">
    <w:nsid w:val="68D033FC"/>
    <w:multiLevelType w:val="multilevel"/>
    <w:tmpl w:val="1BACD686"/>
    <w:lvl w:ilvl="0">
      <w:start w:val="1"/>
      <w:numFmt w:val="decimal"/>
      <w:lvlText w:val="%1."/>
      <w:lvlJc w:val="left"/>
      <w:pPr>
        <w:ind w:left="618" w:hanging="360"/>
      </w:pPr>
    </w:lvl>
    <w:lvl w:ilvl="1">
      <w:start w:val="1"/>
      <w:numFmt w:val="decimal"/>
      <w:lvlText w:val="%1.%2"/>
      <w:lvlJc w:val="left"/>
      <w:pPr>
        <w:ind w:left="618" w:hanging="360"/>
      </w:pPr>
    </w:lvl>
    <w:lvl w:ilvl="2">
      <w:start w:val="1"/>
      <w:numFmt w:val="decimal"/>
      <w:lvlText w:val="%1.%2.%3"/>
      <w:lvlJc w:val="left"/>
      <w:pPr>
        <w:ind w:left="978" w:hanging="720"/>
      </w:pPr>
    </w:lvl>
    <w:lvl w:ilvl="3">
      <w:start w:val="1"/>
      <w:numFmt w:val="decimal"/>
      <w:lvlText w:val="%1.%2.%3.%4"/>
      <w:lvlJc w:val="left"/>
      <w:pPr>
        <w:ind w:left="1338" w:hanging="1080"/>
      </w:pPr>
    </w:lvl>
    <w:lvl w:ilvl="4">
      <w:start w:val="1"/>
      <w:numFmt w:val="decimal"/>
      <w:lvlText w:val="%1.%2.%3.%4.%5"/>
      <w:lvlJc w:val="left"/>
      <w:pPr>
        <w:ind w:left="1338" w:hanging="1080"/>
      </w:pPr>
    </w:lvl>
    <w:lvl w:ilvl="5">
      <w:start w:val="1"/>
      <w:numFmt w:val="decimal"/>
      <w:lvlText w:val="%1.%2.%3.%4.%5.%6"/>
      <w:lvlJc w:val="left"/>
      <w:pPr>
        <w:ind w:left="1698" w:hanging="1440"/>
      </w:pPr>
    </w:lvl>
    <w:lvl w:ilvl="6">
      <w:start w:val="1"/>
      <w:numFmt w:val="decimal"/>
      <w:lvlText w:val="%1.%2.%3.%4.%5.%6.%7"/>
      <w:lvlJc w:val="left"/>
      <w:pPr>
        <w:ind w:left="1698" w:hanging="1440"/>
      </w:pPr>
    </w:lvl>
    <w:lvl w:ilvl="7">
      <w:start w:val="1"/>
      <w:numFmt w:val="decimal"/>
      <w:lvlText w:val="%1.%2.%3.%4.%5.%6.%7.%8"/>
      <w:lvlJc w:val="left"/>
      <w:pPr>
        <w:ind w:left="2058" w:hanging="1800"/>
      </w:pPr>
    </w:lvl>
    <w:lvl w:ilvl="8">
      <w:start w:val="1"/>
      <w:numFmt w:val="decimal"/>
      <w:lvlText w:val="%1.%2.%3.%4.%5.%6.%7.%8.%9"/>
      <w:lvlJc w:val="left"/>
      <w:pPr>
        <w:ind w:left="2058" w:hanging="1800"/>
      </w:pPr>
    </w:lvl>
  </w:abstractNum>
  <w:abstractNum w:abstractNumId="87" w15:restartNumberingAfterBreak="0">
    <w:nsid w:val="69A5283A"/>
    <w:multiLevelType w:val="hybridMultilevel"/>
    <w:tmpl w:val="CB4A54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 w15:restartNumberingAfterBreak="0">
    <w:nsid w:val="6C071523"/>
    <w:multiLevelType w:val="multilevel"/>
    <w:tmpl w:val="19F6619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D3D0A67"/>
    <w:multiLevelType w:val="multilevel"/>
    <w:tmpl w:val="D63E7F9E"/>
    <w:lvl w:ilvl="0">
      <w:start w:val="3"/>
      <w:numFmt w:val="decimal"/>
      <w:lvlText w:val="%1"/>
      <w:lvlJc w:val="left"/>
      <w:pPr>
        <w:ind w:left="360" w:hanging="360"/>
      </w:pPr>
      <w:rPr>
        <w:rFonts w:hint="default"/>
      </w:rPr>
    </w:lvl>
    <w:lvl w:ilvl="1">
      <w:start w:val="1"/>
      <w:numFmt w:val="decimal"/>
      <w:lvlText w:val="%1.%2"/>
      <w:lvlJc w:val="left"/>
      <w:pPr>
        <w:ind w:left="360" w:hanging="360"/>
      </w:pPr>
      <w:rPr>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6DE07C87"/>
    <w:multiLevelType w:val="multilevel"/>
    <w:tmpl w:val="41188B88"/>
    <w:lvl w:ilvl="0">
      <w:start w:val="9"/>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2" w15:restartNumberingAfterBreak="0">
    <w:nsid w:val="6E930994"/>
    <w:multiLevelType w:val="hybridMultilevel"/>
    <w:tmpl w:val="27EE1F78"/>
    <w:lvl w:ilvl="0" w:tplc="CA7804A4">
      <w:start w:val="1"/>
      <w:numFmt w:val="bullet"/>
      <w:lvlText w:val=""/>
      <w:lvlJc w:val="left"/>
      <w:pPr>
        <w:ind w:left="720" w:hanging="360"/>
      </w:pPr>
      <w:rPr>
        <w:rFonts w:ascii="Wingdings" w:hAnsi="Wingdings" w:hint="default"/>
      </w:rPr>
    </w:lvl>
    <w:lvl w:ilvl="1" w:tplc="46D85474">
      <w:start w:val="1"/>
      <w:numFmt w:val="bullet"/>
      <w:lvlText w:val="o"/>
      <w:lvlJc w:val="left"/>
      <w:pPr>
        <w:ind w:left="1440" w:hanging="360"/>
      </w:pPr>
      <w:rPr>
        <w:rFonts w:ascii="Courier New" w:hAnsi="Courier New" w:hint="default"/>
      </w:rPr>
    </w:lvl>
    <w:lvl w:ilvl="2" w:tplc="504836A0">
      <w:start w:val="1"/>
      <w:numFmt w:val="bullet"/>
      <w:lvlText w:val=""/>
      <w:lvlJc w:val="left"/>
      <w:pPr>
        <w:ind w:left="2160" w:hanging="360"/>
      </w:pPr>
      <w:rPr>
        <w:rFonts w:ascii="Wingdings" w:hAnsi="Wingdings" w:hint="default"/>
      </w:rPr>
    </w:lvl>
    <w:lvl w:ilvl="3" w:tplc="094AD8A6">
      <w:start w:val="1"/>
      <w:numFmt w:val="bullet"/>
      <w:lvlText w:val=""/>
      <w:lvlJc w:val="left"/>
      <w:pPr>
        <w:ind w:left="2880" w:hanging="360"/>
      </w:pPr>
      <w:rPr>
        <w:rFonts w:ascii="Symbol" w:hAnsi="Symbol" w:hint="default"/>
      </w:rPr>
    </w:lvl>
    <w:lvl w:ilvl="4" w:tplc="E4985B20">
      <w:start w:val="1"/>
      <w:numFmt w:val="bullet"/>
      <w:lvlText w:val="o"/>
      <w:lvlJc w:val="left"/>
      <w:pPr>
        <w:ind w:left="3600" w:hanging="360"/>
      </w:pPr>
      <w:rPr>
        <w:rFonts w:ascii="Courier New" w:hAnsi="Courier New" w:hint="default"/>
      </w:rPr>
    </w:lvl>
    <w:lvl w:ilvl="5" w:tplc="4700527A">
      <w:start w:val="1"/>
      <w:numFmt w:val="bullet"/>
      <w:lvlText w:val=""/>
      <w:lvlJc w:val="left"/>
      <w:pPr>
        <w:ind w:left="4320" w:hanging="360"/>
      </w:pPr>
      <w:rPr>
        <w:rFonts w:ascii="Wingdings" w:hAnsi="Wingdings" w:hint="default"/>
      </w:rPr>
    </w:lvl>
    <w:lvl w:ilvl="6" w:tplc="AB986C14">
      <w:start w:val="1"/>
      <w:numFmt w:val="bullet"/>
      <w:lvlText w:val=""/>
      <w:lvlJc w:val="left"/>
      <w:pPr>
        <w:ind w:left="5040" w:hanging="360"/>
      </w:pPr>
      <w:rPr>
        <w:rFonts w:ascii="Symbol" w:hAnsi="Symbol" w:hint="default"/>
      </w:rPr>
    </w:lvl>
    <w:lvl w:ilvl="7" w:tplc="AD841FD2">
      <w:start w:val="1"/>
      <w:numFmt w:val="bullet"/>
      <w:lvlText w:val="o"/>
      <w:lvlJc w:val="left"/>
      <w:pPr>
        <w:ind w:left="5760" w:hanging="360"/>
      </w:pPr>
      <w:rPr>
        <w:rFonts w:ascii="Courier New" w:hAnsi="Courier New" w:hint="default"/>
      </w:rPr>
    </w:lvl>
    <w:lvl w:ilvl="8" w:tplc="4104BB48">
      <w:start w:val="1"/>
      <w:numFmt w:val="bullet"/>
      <w:lvlText w:val=""/>
      <w:lvlJc w:val="left"/>
      <w:pPr>
        <w:ind w:left="6480" w:hanging="360"/>
      </w:pPr>
      <w:rPr>
        <w:rFonts w:ascii="Wingdings" w:hAnsi="Wingdings" w:hint="default"/>
      </w:rPr>
    </w:lvl>
  </w:abstractNum>
  <w:abstractNum w:abstractNumId="93" w15:restartNumberingAfterBreak="0">
    <w:nsid w:val="703447DE"/>
    <w:multiLevelType w:val="multilevel"/>
    <w:tmpl w:val="AA7E39F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06074AC"/>
    <w:multiLevelType w:val="multilevel"/>
    <w:tmpl w:val="9514A3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0CE4D6A"/>
    <w:multiLevelType w:val="multilevel"/>
    <w:tmpl w:val="5786228C"/>
    <w:lvl w:ilvl="0">
      <w:start w:val="1"/>
      <w:numFmt w:val="upp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6"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7" w15:restartNumberingAfterBreak="0">
    <w:nsid w:val="71E36268"/>
    <w:multiLevelType w:val="multilevel"/>
    <w:tmpl w:val="149E3E8E"/>
    <w:lvl w:ilvl="0">
      <w:numFmt w:val="bullet"/>
      <w:lvlText w:val="●"/>
      <w:lvlJc w:val="left"/>
      <w:pPr>
        <w:ind w:left="978" w:hanging="360"/>
      </w:pPr>
      <w:rPr>
        <w:rFonts w:ascii="Noto Sans Symbols" w:eastAsia="Noto Sans Symbols" w:hAnsi="Noto Sans Symbols" w:cs="Noto Sans Symbols"/>
        <w:b w:val="0"/>
        <w:i w:val="0"/>
        <w:sz w:val="20"/>
        <w:szCs w:val="20"/>
      </w:rPr>
    </w:lvl>
    <w:lvl w:ilvl="1">
      <w:numFmt w:val="bullet"/>
      <w:lvlText w:val="•"/>
      <w:lvlJc w:val="left"/>
      <w:pPr>
        <w:ind w:left="1918" w:hanging="360"/>
      </w:pPr>
    </w:lvl>
    <w:lvl w:ilvl="2">
      <w:numFmt w:val="bullet"/>
      <w:lvlText w:val="•"/>
      <w:lvlJc w:val="left"/>
      <w:pPr>
        <w:ind w:left="2856" w:hanging="360"/>
      </w:pPr>
    </w:lvl>
    <w:lvl w:ilvl="3">
      <w:numFmt w:val="bullet"/>
      <w:lvlText w:val="•"/>
      <w:lvlJc w:val="left"/>
      <w:pPr>
        <w:ind w:left="3794" w:hanging="360"/>
      </w:pPr>
    </w:lvl>
    <w:lvl w:ilvl="4">
      <w:numFmt w:val="bullet"/>
      <w:lvlText w:val="•"/>
      <w:lvlJc w:val="left"/>
      <w:pPr>
        <w:ind w:left="4732" w:hanging="360"/>
      </w:pPr>
    </w:lvl>
    <w:lvl w:ilvl="5">
      <w:numFmt w:val="bullet"/>
      <w:lvlText w:val="•"/>
      <w:lvlJc w:val="left"/>
      <w:pPr>
        <w:ind w:left="5670" w:hanging="360"/>
      </w:pPr>
    </w:lvl>
    <w:lvl w:ilvl="6">
      <w:numFmt w:val="bullet"/>
      <w:lvlText w:val="•"/>
      <w:lvlJc w:val="left"/>
      <w:pPr>
        <w:ind w:left="6608" w:hanging="360"/>
      </w:pPr>
    </w:lvl>
    <w:lvl w:ilvl="7">
      <w:numFmt w:val="bullet"/>
      <w:lvlText w:val="•"/>
      <w:lvlJc w:val="left"/>
      <w:pPr>
        <w:ind w:left="7546" w:hanging="360"/>
      </w:pPr>
    </w:lvl>
    <w:lvl w:ilvl="8">
      <w:numFmt w:val="bullet"/>
      <w:lvlText w:val="•"/>
      <w:lvlJc w:val="left"/>
      <w:pPr>
        <w:ind w:left="8484" w:hanging="360"/>
      </w:pPr>
    </w:lvl>
  </w:abstractNum>
  <w:abstractNum w:abstractNumId="98" w15:restartNumberingAfterBreak="0">
    <w:nsid w:val="71F22210"/>
    <w:multiLevelType w:val="multilevel"/>
    <w:tmpl w:val="D84440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72AD365C"/>
    <w:multiLevelType w:val="multilevel"/>
    <w:tmpl w:val="5DB684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756275F3"/>
    <w:multiLevelType w:val="hybridMultilevel"/>
    <w:tmpl w:val="61D49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1" w15:restartNumberingAfterBreak="0">
    <w:nsid w:val="75D42481"/>
    <w:multiLevelType w:val="multilevel"/>
    <w:tmpl w:val="1F4053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75D837C6"/>
    <w:multiLevelType w:val="multilevel"/>
    <w:tmpl w:val="BE3EDA9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8C60D5A"/>
    <w:multiLevelType w:val="hybridMultilevel"/>
    <w:tmpl w:val="6DB2E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4" w15:restartNumberingAfterBreak="0">
    <w:nsid w:val="798C3F04"/>
    <w:multiLevelType w:val="multilevel"/>
    <w:tmpl w:val="78724FA6"/>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5" w15:restartNumberingAfterBreak="0">
    <w:nsid w:val="7A1A12CE"/>
    <w:multiLevelType w:val="hybridMultilevel"/>
    <w:tmpl w:val="30B623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6" w15:restartNumberingAfterBreak="0">
    <w:nsid w:val="7B5F4291"/>
    <w:multiLevelType w:val="hybridMultilevel"/>
    <w:tmpl w:val="1032D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7" w15:restartNumberingAfterBreak="0">
    <w:nsid w:val="7B8E5C82"/>
    <w:multiLevelType w:val="multilevel"/>
    <w:tmpl w:val="713C8E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8" w15:restartNumberingAfterBreak="0">
    <w:nsid w:val="7D284AFE"/>
    <w:multiLevelType w:val="multilevel"/>
    <w:tmpl w:val="5DD63D12"/>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92"/>
  </w:num>
  <w:num w:numId="2">
    <w:abstractNumId w:val="4"/>
  </w:num>
  <w:num w:numId="3">
    <w:abstractNumId w:val="12"/>
  </w:num>
  <w:num w:numId="4">
    <w:abstractNumId w:val="81"/>
  </w:num>
  <w:num w:numId="5">
    <w:abstractNumId w:val="10"/>
  </w:num>
  <w:num w:numId="6">
    <w:abstractNumId w:val="27"/>
  </w:num>
  <w:num w:numId="7">
    <w:abstractNumId w:val="88"/>
  </w:num>
  <w:num w:numId="8">
    <w:abstractNumId w:val="6"/>
  </w:num>
  <w:num w:numId="9">
    <w:abstractNumId w:val="9"/>
  </w:num>
  <w:num w:numId="10">
    <w:abstractNumId w:val="32"/>
  </w:num>
  <w:num w:numId="11">
    <w:abstractNumId w:val="14"/>
  </w:num>
  <w:num w:numId="12">
    <w:abstractNumId w:val="22"/>
  </w:num>
  <w:num w:numId="13">
    <w:abstractNumId w:val="60"/>
  </w:num>
  <w:num w:numId="14">
    <w:abstractNumId w:val="63"/>
  </w:num>
  <w:num w:numId="15">
    <w:abstractNumId w:val="64"/>
  </w:num>
  <w:num w:numId="16">
    <w:abstractNumId w:val="54"/>
  </w:num>
  <w:num w:numId="1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5"/>
  </w:num>
  <w:num w:numId="19">
    <w:abstractNumId w:val="76"/>
  </w:num>
  <w:num w:numId="20">
    <w:abstractNumId w:val="97"/>
  </w:num>
  <w:num w:numId="21">
    <w:abstractNumId w:val="47"/>
  </w:num>
  <w:num w:numId="22">
    <w:abstractNumId w:val="16"/>
  </w:num>
  <w:num w:numId="23">
    <w:abstractNumId w:val="56"/>
  </w:num>
  <w:num w:numId="24">
    <w:abstractNumId w:val="108"/>
  </w:num>
  <w:num w:numId="25">
    <w:abstractNumId w:val="58"/>
  </w:num>
  <w:num w:numId="26">
    <w:abstractNumId w:val="86"/>
  </w:num>
  <w:num w:numId="27">
    <w:abstractNumId w:val="49"/>
  </w:num>
  <w:num w:numId="28">
    <w:abstractNumId w:val="69"/>
  </w:num>
  <w:num w:numId="29">
    <w:abstractNumId w:val="104"/>
  </w:num>
  <w:num w:numId="30">
    <w:abstractNumId w:val="39"/>
  </w:num>
  <w:num w:numId="31">
    <w:abstractNumId w:val="46"/>
  </w:num>
  <w:num w:numId="32">
    <w:abstractNumId w:val="77"/>
  </w:num>
  <w:num w:numId="33">
    <w:abstractNumId w:val="8"/>
  </w:num>
  <w:num w:numId="34">
    <w:abstractNumId w:val="41"/>
  </w:num>
  <w:num w:numId="35">
    <w:abstractNumId w:val="80"/>
  </w:num>
  <w:num w:numId="36">
    <w:abstractNumId w:val="83"/>
  </w:num>
  <w:num w:numId="37">
    <w:abstractNumId w:val="21"/>
  </w:num>
  <w:num w:numId="38">
    <w:abstractNumId w:val="36"/>
  </w:num>
  <w:num w:numId="39">
    <w:abstractNumId w:val="53"/>
  </w:num>
  <w:num w:numId="40">
    <w:abstractNumId w:val="82"/>
  </w:num>
  <w:num w:numId="41">
    <w:abstractNumId w:val="102"/>
  </w:num>
  <w:num w:numId="42">
    <w:abstractNumId w:val="68"/>
  </w:num>
  <w:num w:numId="43">
    <w:abstractNumId w:val="23"/>
  </w:num>
  <w:num w:numId="44">
    <w:abstractNumId w:val="51"/>
  </w:num>
  <w:num w:numId="45">
    <w:abstractNumId w:val="94"/>
  </w:num>
  <w:num w:numId="46">
    <w:abstractNumId w:val="93"/>
  </w:num>
  <w:num w:numId="47">
    <w:abstractNumId w:val="5"/>
  </w:num>
  <w:num w:numId="48">
    <w:abstractNumId w:val="1"/>
  </w:num>
  <w:num w:numId="49">
    <w:abstractNumId w:val="13"/>
  </w:num>
  <w:num w:numId="50">
    <w:abstractNumId w:val="99"/>
  </w:num>
  <w:num w:numId="51">
    <w:abstractNumId w:val="57"/>
  </w:num>
  <w:num w:numId="52">
    <w:abstractNumId w:val="98"/>
  </w:num>
  <w:num w:numId="53">
    <w:abstractNumId w:val="101"/>
  </w:num>
  <w:num w:numId="54">
    <w:abstractNumId w:val="74"/>
  </w:num>
  <w:num w:numId="55">
    <w:abstractNumId w:val="107"/>
  </w:num>
  <w:num w:numId="56">
    <w:abstractNumId w:val="78"/>
  </w:num>
  <w:num w:numId="57">
    <w:abstractNumId w:val="11"/>
  </w:num>
  <w:num w:numId="58">
    <w:abstractNumId w:val="62"/>
  </w:num>
  <w:num w:numId="59">
    <w:abstractNumId w:val="43"/>
  </w:num>
  <w:num w:numId="60">
    <w:abstractNumId w:val="42"/>
  </w:num>
  <w:num w:numId="61">
    <w:abstractNumId w:val="72"/>
  </w:num>
  <w:num w:numId="62">
    <w:abstractNumId w:val="18"/>
  </w:num>
  <w:num w:numId="63">
    <w:abstractNumId w:val="45"/>
  </w:num>
  <w:num w:numId="64">
    <w:abstractNumId w:val="30"/>
  </w:num>
  <w:num w:numId="65">
    <w:abstractNumId w:val="95"/>
  </w:num>
  <w:num w:numId="66">
    <w:abstractNumId w:val="70"/>
  </w:num>
  <w:num w:numId="67">
    <w:abstractNumId w:val="84"/>
  </w:num>
  <w:num w:numId="68">
    <w:abstractNumId w:val="71"/>
  </w:num>
  <w:num w:numId="69">
    <w:abstractNumId w:val="89"/>
  </w:num>
  <w:num w:numId="70">
    <w:abstractNumId w:val="29"/>
  </w:num>
  <w:num w:numId="71">
    <w:abstractNumId w:val="40"/>
  </w:num>
  <w:num w:numId="72">
    <w:abstractNumId w:val="55"/>
  </w:num>
  <w:num w:numId="73">
    <w:abstractNumId w:val="0"/>
  </w:num>
  <w:num w:numId="74">
    <w:abstractNumId w:val="44"/>
  </w:num>
  <w:num w:numId="75">
    <w:abstractNumId w:val="91"/>
  </w:num>
  <w:num w:numId="76">
    <w:abstractNumId w:val="31"/>
  </w:num>
  <w:num w:numId="77">
    <w:abstractNumId w:val="37"/>
  </w:num>
  <w:num w:numId="78">
    <w:abstractNumId w:val="19"/>
  </w:num>
  <w:num w:numId="79">
    <w:abstractNumId w:val="35"/>
  </w:num>
  <w:num w:numId="80">
    <w:abstractNumId w:val="38"/>
  </w:num>
  <w:num w:numId="81">
    <w:abstractNumId w:val="33"/>
  </w:num>
  <w:num w:numId="82">
    <w:abstractNumId w:val="96"/>
  </w:num>
  <w:num w:numId="83">
    <w:abstractNumId w:val="17"/>
  </w:num>
  <w:num w:numId="84">
    <w:abstractNumId w:val="3"/>
  </w:num>
  <w:num w:numId="85">
    <w:abstractNumId w:val="79"/>
  </w:num>
  <w:num w:numId="86">
    <w:abstractNumId w:val="34"/>
  </w:num>
  <w:num w:numId="87">
    <w:abstractNumId w:val="2"/>
  </w:num>
  <w:num w:numId="88">
    <w:abstractNumId w:val="20"/>
  </w:num>
  <w:num w:numId="89">
    <w:abstractNumId w:val="65"/>
  </w:num>
  <w:num w:numId="90">
    <w:abstractNumId w:val="90"/>
  </w:num>
  <w:num w:numId="91">
    <w:abstractNumId w:val="28"/>
  </w:num>
  <w:num w:numId="92">
    <w:abstractNumId w:val="73"/>
  </w:num>
  <w:num w:numId="93">
    <w:abstractNumId w:val="24"/>
  </w:num>
  <w:num w:numId="94">
    <w:abstractNumId w:val="103"/>
  </w:num>
  <w:num w:numId="95">
    <w:abstractNumId w:val="15"/>
  </w:num>
  <w:num w:numId="96">
    <w:abstractNumId w:val="100"/>
  </w:num>
  <w:num w:numId="97">
    <w:abstractNumId w:val="61"/>
  </w:num>
  <w:num w:numId="98">
    <w:abstractNumId w:val="50"/>
  </w:num>
  <w:num w:numId="99">
    <w:abstractNumId w:val="25"/>
  </w:num>
  <w:num w:numId="100">
    <w:abstractNumId w:val="106"/>
  </w:num>
  <w:num w:numId="101">
    <w:abstractNumId w:val="87"/>
  </w:num>
  <w:num w:numId="102">
    <w:abstractNumId w:val="66"/>
  </w:num>
  <w:num w:numId="103">
    <w:abstractNumId w:val="105"/>
  </w:num>
  <w:num w:numId="104">
    <w:abstractNumId w:val="85"/>
  </w:num>
  <w:num w:numId="105">
    <w:abstractNumId w:val="67"/>
  </w:num>
  <w:num w:numId="106">
    <w:abstractNumId w:val="48"/>
  </w:num>
  <w:num w:numId="107">
    <w:abstractNumId w:val="26"/>
  </w:num>
  <w:num w:numId="108">
    <w:abstractNumId w:val="7"/>
  </w:num>
  <w:num w:numId="109">
    <w:abstractNumId w:val="5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0C6"/>
    <w:rsid w:val="000104FD"/>
    <w:rsid w:val="00027DC7"/>
    <w:rsid w:val="000318AE"/>
    <w:rsid w:val="00034C1A"/>
    <w:rsid w:val="000508EC"/>
    <w:rsid w:val="00060EFB"/>
    <w:rsid w:val="00066B1A"/>
    <w:rsid w:val="00080A8C"/>
    <w:rsid w:val="00082247"/>
    <w:rsid w:val="00083F16"/>
    <w:rsid w:val="000C7A72"/>
    <w:rsid w:val="000D1896"/>
    <w:rsid w:val="000D4903"/>
    <w:rsid w:val="00111913"/>
    <w:rsid w:val="001149E9"/>
    <w:rsid w:val="001170E4"/>
    <w:rsid w:val="00131D13"/>
    <w:rsid w:val="00135B61"/>
    <w:rsid w:val="001419F3"/>
    <w:rsid w:val="00143A4B"/>
    <w:rsid w:val="001476D9"/>
    <w:rsid w:val="00155AB4"/>
    <w:rsid w:val="00180A6B"/>
    <w:rsid w:val="001A791E"/>
    <w:rsid w:val="001B3016"/>
    <w:rsid w:val="001C3BBF"/>
    <w:rsid w:val="001C412A"/>
    <w:rsid w:val="001D67BB"/>
    <w:rsid w:val="001D77FC"/>
    <w:rsid w:val="001E0090"/>
    <w:rsid w:val="001E05FF"/>
    <w:rsid w:val="001F42D1"/>
    <w:rsid w:val="00202582"/>
    <w:rsid w:val="00206111"/>
    <w:rsid w:val="002077D8"/>
    <w:rsid w:val="002103CA"/>
    <w:rsid w:val="002114E5"/>
    <w:rsid w:val="00211861"/>
    <w:rsid w:val="0021543A"/>
    <w:rsid w:val="00221A21"/>
    <w:rsid w:val="00221FEA"/>
    <w:rsid w:val="00234ABD"/>
    <w:rsid w:val="0025165E"/>
    <w:rsid w:val="00253BC8"/>
    <w:rsid w:val="00257DAE"/>
    <w:rsid w:val="00265CB5"/>
    <w:rsid w:val="00277E2A"/>
    <w:rsid w:val="00277F97"/>
    <w:rsid w:val="0027CD53"/>
    <w:rsid w:val="00283E81"/>
    <w:rsid w:val="0029409A"/>
    <w:rsid w:val="0029748E"/>
    <w:rsid w:val="002C1BBB"/>
    <w:rsid w:val="002C4408"/>
    <w:rsid w:val="002D093F"/>
    <w:rsid w:val="002F4AD6"/>
    <w:rsid w:val="00301441"/>
    <w:rsid w:val="00304F79"/>
    <w:rsid w:val="00305D55"/>
    <w:rsid w:val="00324D4A"/>
    <w:rsid w:val="0032620C"/>
    <w:rsid w:val="00336A3A"/>
    <w:rsid w:val="003400E2"/>
    <w:rsid w:val="003450B8"/>
    <w:rsid w:val="003770A9"/>
    <w:rsid w:val="00377CA7"/>
    <w:rsid w:val="00385EE8"/>
    <w:rsid w:val="00394800"/>
    <w:rsid w:val="003A7352"/>
    <w:rsid w:val="003B511D"/>
    <w:rsid w:val="003B600F"/>
    <w:rsid w:val="003C0581"/>
    <w:rsid w:val="003C455E"/>
    <w:rsid w:val="003E51C9"/>
    <w:rsid w:val="003E7934"/>
    <w:rsid w:val="003F0D5B"/>
    <w:rsid w:val="003F216B"/>
    <w:rsid w:val="00412FA8"/>
    <w:rsid w:val="00415617"/>
    <w:rsid w:val="004235CC"/>
    <w:rsid w:val="00444327"/>
    <w:rsid w:val="004578CE"/>
    <w:rsid w:val="004673C0"/>
    <w:rsid w:val="00473E57"/>
    <w:rsid w:val="00494E27"/>
    <w:rsid w:val="00495B6F"/>
    <w:rsid w:val="0049696E"/>
    <w:rsid w:val="004A5064"/>
    <w:rsid w:val="004F1B54"/>
    <w:rsid w:val="004F4BA7"/>
    <w:rsid w:val="004F5531"/>
    <w:rsid w:val="005169D6"/>
    <w:rsid w:val="005324E4"/>
    <w:rsid w:val="005357B2"/>
    <w:rsid w:val="00560581"/>
    <w:rsid w:val="00562444"/>
    <w:rsid w:val="00565AF4"/>
    <w:rsid w:val="00573863"/>
    <w:rsid w:val="00581354"/>
    <w:rsid w:val="00581789"/>
    <w:rsid w:val="005A2AC3"/>
    <w:rsid w:val="005C0818"/>
    <w:rsid w:val="005C38F5"/>
    <w:rsid w:val="005D0148"/>
    <w:rsid w:val="005D224E"/>
    <w:rsid w:val="00602303"/>
    <w:rsid w:val="00605933"/>
    <w:rsid w:val="006154DE"/>
    <w:rsid w:val="00620FD6"/>
    <w:rsid w:val="0062495B"/>
    <w:rsid w:val="00625DFB"/>
    <w:rsid w:val="00643610"/>
    <w:rsid w:val="00660A95"/>
    <w:rsid w:val="00663941"/>
    <w:rsid w:val="00663ACC"/>
    <w:rsid w:val="00670A82"/>
    <w:rsid w:val="00673717"/>
    <w:rsid w:val="00693577"/>
    <w:rsid w:val="006A3126"/>
    <w:rsid w:val="006B0FBD"/>
    <w:rsid w:val="006C177D"/>
    <w:rsid w:val="006C4D47"/>
    <w:rsid w:val="006C5038"/>
    <w:rsid w:val="006D4D10"/>
    <w:rsid w:val="006F00A5"/>
    <w:rsid w:val="006F1590"/>
    <w:rsid w:val="006F6CBB"/>
    <w:rsid w:val="006F7706"/>
    <w:rsid w:val="006F794D"/>
    <w:rsid w:val="00702A8B"/>
    <w:rsid w:val="007152E2"/>
    <w:rsid w:val="007314EF"/>
    <w:rsid w:val="00734201"/>
    <w:rsid w:val="00743D13"/>
    <w:rsid w:val="00750BC7"/>
    <w:rsid w:val="0076328F"/>
    <w:rsid w:val="00780B53"/>
    <w:rsid w:val="00786F45"/>
    <w:rsid w:val="00795EEB"/>
    <w:rsid w:val="007A5AD5"/>
    <w:rsid w:val="007B6BB8"/>
    <w:rsid w:val="007C43EB"/>
    <w:rsid w:val="007C5177"/>
    <w:rsid w:val="007E4534"/>
    <w:rsid w:val="007E45F0"/>
    <w:rsid w:val="007F3B2B"/>
    <w:rsid w:val="007F4A6F"/>
    <w:rsid w:val="00806B3C"/>
    <w:rsid w:val="00823562"/>
    <w:rsid w:val="00830A58"/>
    <w:rsid w:val="00832F8D"/>
    <w:rsid w:val="008332D4"/>
    <w:rsid w:val="00841AE2"/>
    <w:rsid w:val="00851D3C"/>
    <w:rsid w:val="008620D5"/>
    <w:rsid w:val="008628E9"/>
    <w:rsid w:val="00886DEC"/>
    <w:rsid w:val="00893C28"/>
    <w:rsid w:val="008B2E70"/>
    <w:rsid w:val="008B615A"/>
    <w:rsid w:val="008D4660"/>
    <w:rsid w:val="008E1D51"/>
    <w:rsid w:val="008E37A8"/>
    <w:rsid w:val="00904786"/>
    <w:rsid w:val="00913BC9"/>
    <w:rsid w:val="0092112F"/>
    <w:rsid w:val="00925243"/>
    <w:rsid w:val="00930A42"/>
    <w:rsid w:val="0093591A"/>
    <w:rsid w:val="0094735F"/>
    <w:rsid w:val="00956A7D"/>
    <w:rsid w:val="00960B1C"/>
    <w:rsid w:val="00976029"/>
    <w:rsid w:val="009862CC"/>
    <w:rsid w:val="009914A3"/>
    <w:rsid w:val="00991E92"/>
    <w:rsid w:val="00994917"/>
    <w:rsid w:val="009C7B2C"/>
    <w:rsid w:val="009D450A"/>
    <w:rsid w:val="009F325D"/>
    <w:rsid w:val="00A24986"/>
    <w:rsid w:val="00A27FC6"/>
    <w:rsid w:val="00A4531F"/>
    <w:rsid w:val="00A7322A"/>
    <w:rsid w:val="00A91CC2"/>
    <w:rsid w:val="00AA16E1"/>
    <w:rsid w:val="00AB328D"/>
    <w:rsid w:val="00AC1A19"/>
    <w:rsid w:val="00AC2ACC"/>
    <w:rsid w:val="00AC2C63"/>
    <w:rsid w:val="00B1508C"/>
    <w:rsid w:val="00B16E0A"/>
    <w:rsid w:val="00B278C8"/>
    <w:rsid w:val="00B35C3C"/>
    <w:rsid w:val="00B451EF"/>
    <w:rsid w:val="00B5469E"/>
    <w:rsid w:val="00B63EB0"/>
    <w:rsid w:val="00B64212"/>
    <w:rsid w:val="00B673F4"/>
    <w:rsid w:val="00B7140C"/>
    <w:rsid w:val="00B91D01"/>
    <w:rsid w:val="00B935D7"/>
    <w:rsid w:val="00B95FFD"/>
    <w:rsid w:val="00BC5C9F"/>
    <w:rsid w:val="00BD2654"/>
    <w:rsid w:val="00BE1C0D"/>
    <w:rsid w:val="00BE3C99"/>
    <w:rsid w:val="00BE6E99"/>
    <w:rsid w:val="00C01810"/>
    <w:rsid w:val="00C2741D"/>
    <w:rsid w:val="00C2751A"/>
    <w:rsid w:val="00C35D39"/>
    <w:rsid w:val="00C4222D"/>
    <w:rsid w:val="00C45EE4"/>
    <w:rsid w:val="00C470A2"/>
    <w:rsid w:val="00C5004C"/>
    <w:rsid w:val="00C849C3"/>
    <w:rsid w:val="00C860DC"/>
    <w:rsid w:val="00C91622"/>
    <w:rsid w:val="00C95FF3"/>
    <w:rsid w:val="00CA249B"/>
    <w:rsid w:val="00CA2F3C"/>
    <w:rsid w:val="00CA3B52"/>
    <w:rsid w:val="00CC3CAC"/>
    <w:rsid w:val="00CD5A5F"/>
    <w:rsid w:val="00CE24E4"/>
    <w:rsid w:val="00CF5CC0"/>
    <w:rsid w:val="00D31D35"/>
    <w:rsid w:val="00D4351F"/>
    <w:rsid w:val="00D540D7"/>
    <w:rsid w:val="00D65056"/>
    <w:rsid w:val="00D72618"/>
    <w:rsid w:val="00D733D5"/>
    <w:rsid w:val="00D806A3"/>
    <w:rsid w:val="00D82EA1"/>
    <w:rsid w:val="00D83DAC"/>
    <w:rsid w:val="00D93E4D"/>
    <w:rsid w:val="00DB280F"/>
    <w:rsid w:val="00DC5F32"/>
    <w:rsid w:val="00DC6DF6"/>
    <w:rsid w:val="00DC7065"/>
    <w:rsid w:val="00DD29CD"/>
    <w:rsid w:val="00DE0DA8"/>
    <w:rsid w:val="00DE1F93"/>
    <w:rsid w:val="00DE57BE"/>
    <w:rsid w:val="00DE615B"/>
    <w:rsid w:val="00DF5279"/>
    <w:rsid w:val="00DF5DA8"/>
    <w:rsid w:val="00DF6280"/>
    <w:rsid w:val="00E011F3"/>
    <w:rsid w:val="00E11345"/>
    <w:rsid w:val="00E12327"/>
    <w:rsid w:val="00E12C5A"/>
    <w:rsid w:val="00E259A8"/>
    <w:rsid w:val="00E378B2"/>
    <w:rsid w:val="00E46564"/>
    <w:rsid w:val="00E52DAF"/>
    <w:rsid w:val="00E657F1"/>
    <w:rsid w:val="00E82E53"/>
    <w:rsid w:val="00E85610"/>
    <w:rsid w:val="00ED60C6"/>
    <w:rsid w:val="00F05708"/>
    <w:rsid w:val="00F2220A"/>
    <w:rsid w:val="00F25C86"/>
    <w:rsid w:val="00F44614"/>
    <w:rsid w:val="00F53958"/>
    <w:rsid w:val="00F71CD7"/>
    <w:rsid w:val="00F7540F"/>
    <w:rsid w:val="00F768D0"/>
    <w:rsid w:val="00F96396"/>
    <w:rsid w:val="00FA2871"/>
    <w:rsid w:val="00FA547B"/>
    <w:rsid w:val="00FB5A07"/>
    <w:rsid w:val="00FC0815"/>
    <w:rsid w:val="00FC5D65"/>
    <w:rsid w:val="00FD1A5F"/>
    <w:rsid w:val="00FD3A4F"/>
    <w:rsid w:val="00FE4FFF"/>
    <w:rsid w:val="00FE5C1D"/>
    <w:rsid w:val="00FF08C3"/>
    <w:rsid w:val="00FF4E2C"/>
    <w:rsid w:val="00FF574C"/>
    <w:rsid w:val="00FF78E1"/>
    <w:rsid w:val="03F10D69"/>
    <w:rsid w:val="07EEE827"/>
    <w:rsid w:val="0BFB5246"/>
    <w:rsid w:val="0C8893F7"/>
    <w:rsid w:val="0CC143A9"/>
    <w:rsid w:val="0EAA501F"/>
    <w:rsid w:val="10523296"/>
    <w:rsid w:val="1056101C"/>
    <w:rsid w:val="115E7C75"/>
    <w:rsid w:val="12D8D8FD"/>
    <w:rsid w:val="1456E6F6"/>
    <w:rsid w:val="15B59608"/>
    <w:rsid w:val="16857E23"/>
    <w:rsid w:val="18A4BF8D"/>
    <w:rsid w:val="1A9BB1AA"/>
    <w:rsid w:val="1B32A384"/>
    <w:rsid w:val="1FD6F42B"/>
    <w:rsid w:val="2106D1A2"/>
    <w:rsid w:val="227DB30F"/>
    <w:rsid w:val="280CEB79"/>
    <w:rsid w:val="295E2BC3"/>
    <w:rsid w:val="299F98BC"/>
    <w:rsid w:val="2A513DAD"/>
    <w:rsid w:val="2B6E036A"/>
    <w:rsid w:val="2B944347"/>
    <w:rsid w:val="2BA1E2F2"/>
    <w:rsid w:val="2DD9578F"/>
    <w:rsid w:val="2E7A99C1"/>
    <w:rsid w:val="3045FB4D"/>
    <w:rsid w:val="31AAE6C7"/>
    <w:rsid w:val="3413F276"/>
    <w:rsid w:val="355DE121"/>
    <w:rsid w:val="3917DFD6"/>
    <w:rsid w:val="39662BD9"/>
    <w:rsid w:val="3D3FE7F1"/>
    <w:rsid w:val="3F95A473"/>
    <w:rsid w:val="4135D6A4"/>
    <w:rsid w:val="43476C97"/>
    <w:rsid w:val="4409CDB0"/>
    <w:rsid w:val="441A6979"/>
    <w:rsid w:val="44744DA9"/>
    <w:rsid w:val="459B5275"/>
    <w:rsid w:val="45C0F370"/>
    <w:rsid w:val="4612A54A"/>
    <w:rsid w:val="46957747"/>
    <w:rsid w:val="47BE7CB4"/>
    <w:rsid w:val="4816864B"/>
    <w:rsid w:val="4A54EC5D"/>
    <w:rsid w:val="4B18F1F5"/>
    <w:rsid w:val="4B28332F"/>
    <w:rsid w:val="4BB43B7A"/>
    <w:rsid w:val="4D63E8CF"/>
    <w:rsid w:val="512191C8"/>
    <w:rsid w:val="515C7D37"/>
    <w:rsid w:val="51DD6686"/>
    <w:rsid w:val="520752E0"/>
    <w:rsid w:val="5238C484"/>
    <w:rsid w:val="538D02BD"/>
    <w:rsid w:val="57267655"/>
    <w:rsid w:val="57C1A2B4"/>
    <w:rsid w:val="5A0B8395"/>
    <w:rsid w:val="5A23227B"/>
    <w:rsid w:val="5FDB9E43"/>
    <w:rsid w:val="613EAA52"/>
    <w:rsid w:val="619BED65"/>
    <w:rsid w:val="62384BFF"/>
    <w:rsid w:val="6267A0DE"/>
    <w:rsid w:val="62C1FB9C"/>
    <w:rsid w:val="64779241"/>
    <w:rsid w:val="66ED4A08"/>
    <w:rsid w:val="674226EF"/>
    <w:rsid w:val="678E4DA0"/>
    <w:rsid w:val="68400521"/>
    <w:rsid w:val="6A113371"/>
    <w:rsid w:val="6C045021"/>
    <w:rsid w:val="70ED7339"/>
    <w:rsid w:val="72D4DDC5"/>
    <w:rsid w:val="72D92DCC"/>
    <w:rsid w:val="74E56E90"/>
    <w:rsid w:val="7505AF8D"/>
    <w:rsid w:val="750634FA"/>
    <w:rsid w:val="783D0D04"/>
    <w:rsid w:val="78C0CA08"/>
    <w:rsid w:val="7936AC61"/>
    <w:rsid w:val="7991BCAF"/>
    <w:rsid w:val="7A21B762"/>
    <w:rsid w:val="7AE042E5"/>
    <w:rsid w:val="7B655BC0"/>
    <w:rsid w:val="7C9E4ED4"/>
    <w:rsid w:val="7D5C30C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A4B952"/>
  <w15:docId w15:val="{7186ABE9-AC5A-6E49-80D7-4BE196B15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aliases w:val="Capítulos"/>
    <w:basedOn w:val="Normal"/>
    <w:next w:val="Normal"/>
    <w:link w:val="Ttulo2Car"/>
    <w:uiPriority w:val="9"/>
    <w:unhideWhenUsed/>
    <w:qFormat/>
    <w:rsid w:val="00415617"/>
    <w:pPr>
      <w:keepNext/>
      <w:widowControl/>
      <w:numPr>
        <w:numId w:val="17"/>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aliases w:val="Secciones"/>
    <w:basedOn w:val="Normal"/>
    <w:next w:val="Normal"/>
    <w:link w:val="Ttulo3Car"/>
    <w:uiPriority w:val="9"/>
    <w:unhideWhenUsed/>
    <w:qFormat/>
    <w:rsid w:val="00E12C5A"/>
    <w:pPr>
      <w:suppressAutoHyphens w:val="0"/>
      <w:autoSpaceDN/>
      <w:spacing w:before="60" w:line="276" w:lineRule="auto"/>
      <w:ind w:left="978" w:hanging="360"/>
      <w:textAlignment w:val="auto"/>
      <w:outlineLvl w:val="2"/>
    </w:pPr>
    <w:rPr>
      <w:rFonts w:ascii="Garamond" w:eastAsia="Garamond" w:hAnsi="Garamond" w:cs="Garamond"/>
      <w:b/>
      <w:kern w:val="0"/>
      <w:sz w:val="20"/>
      <w:szCs w:val="20"/>
      <w:lang w:eastAsia="es-CO" w:bidi="ar-SA"/>
    </w:rPr>
  </w:style>
  <w:style w:type="paragraph" w:styleId="Ttulo4">
    <w:name w:val="heading 4"/>
    <w:basedOn w:val="Normal"/>
    <w:next w:val="Normal"/>
    <w:link w:val="Ttulo4Car"/>
    <w:uiPriority w:val="9"/>
    <w:unhideWhenUsed/>
    <w:qFormat/>
    <w:rsid w:val="00E12C5A"/>
    <w:pPr>
      <w:suppressAutoHyphens w:val="0"/>
      <w:autoSpaceDN/>
      <w:spacing w:before="43" w:line="455" w:lineRule="auto"/>
      <w:ind w:left="258"/>
      <w:textAlignment w:val="auto"/>
      <w:outlineLvl w:val="3"/>
    </w:pPr>
    <w:rPr>
      <w:rFonts w:ascii="Garamond" w:eastAsia="Garamond" w:hAnsi="Garamond" w:cs="Garamond"/>
      <w:b/>
      <w:kern w:val="0"/>
      <w:sz w:val="20"/>
      <w:szCs w:val="20"/>
      <w:lang w:eastAsia="es-CO" w:bidi="ar-SA"/>
    </w:rPr>
  </w:style>
  <w:style w:type="paragraph" w:styleId="Ttulo5">
    <w:name w:val="heading 5"/>
    <w:basedOn w:val="Normal"/>
    <w:next w:val="Normal"/>
    <w:link w:val="Ttulo5Car"/>
    <w:uiPriority w:val="9"/>
    <w:semiHidden/>
    <w:unhideWhenUsed/>
    <w:qFormat/>
    <w:rsid w:val="00E12C5A"/>
    <w:pPr>
      <w:keepNext/>
      <w:keepLines/>
      <w:suppressAutoHyphens w:val="0"/>
      <w:autoSpaceDN/>
      <w:spacing w:before="220" w:after="40"/>
      <w:textAlignment w:val="auto"/>
      <w:outlineLvl w:val="4"/>
    </w:pPr>
    <w:rPr>
      <w:rFonts w:cs="Times New Roman"/>
      <w:b/>
      <w:kern w:val="0"/>
      <w:sz w:val="22"/>
      <w:szCs w:val="22"/>
      <w:lang w:eastAsia="es-CO" w:bidi="ar-SA"/>
    </w:rPr>
  </w:style>
  <w:style w:type="paragraph" w:styleId="Ttulo6">
    <w:name w:val="heading 6"/>
    <w:basedOn w:val="Normal"/>
    <w:next w:val="Normal"/>
    <w:link w:val="Ttulo6Car"/>
    <w:uiPriority w:val="9"/>
    <w:semiHidden/>
    <w:unhideWhenUsed/>
    <w:qFormat/>
    <w:rsid w:val="00E12C5A"/>
    <w:pPr>
      <w:keepNext/>
      <w:keepLines/>
      <w:suppressAutoHyphens w:val="0"/>
      <w:autoSpaceDN/>
      <w:spacing w:before="200" w:after="40"/>
      <w:textAlignment w:val="auto"/>
      <w:outlineLvl w:val="5"/>
    </w:pPr>
    <w:rPr>
      <w:rFonts w:cs="Times New Roman"/>
      <w:b/>
      <w:kern w:val="0"/>
      <w:sz w:val="20"/>
      <w:szCs w:val="20"/>
      <w:lang w:eastAsia="es-CO" w:bidi="ar-SA"/>
    </w:rPr>
  </w:style>
  <w:style w:type="paragraph" w:styleId="Ttulo7">
    <w:name w:val="heading 7"/>
    <w:basedOn w:val="Normal"/>
    <w:next w:val="Normal"/>
    <w:link w:val="Ttulo7Car"/>
    <w:uiPriority w:val="9"/>
    <w:semiHidden/>
    <w:unhideWhenUsed/>
    <w:qFormat/>
    <w:rsid w:val="00DE1F93"/>
    <w:pPr>
      <w:keepNext/>
      <w:keepLines/>
      <w:widowControl/>
      <w:tabs>
        <w:tab w:val="num" w:pos="360"/>
      </w:tabs>
      <w:suppressAutoHyphens w:val="0"/>
      <w:autoSpaceDN/>
      <w:spacing w:before="40" w:line="259" w:lineRule="auto"/>
      <w:textAlignment w:val="auto"/>
      <w:outlineLvl w:val="6"/>
    </w:pPr>
    <w:rPr>
      <w:rFonts w:asciiTheme="majorHAnsi" w:eastAsiaTheme="majorEastAsia" w:hAnsiTheme="majorHAnsi" w:cstheme="majorBidi"/>
      <w:i/>
      <w:iCs/>
      <w:color w:val="243F60" w:themeColor="accent1" w:themeShade="7F"/>
      <w:kern w:val="0"/>
      <w:sz w:val="20"/>
      <w:szCs w:val="22"/>
      <w:lang w:eastAsia="en-US" w:bidi="ar-SA"/>
    </w:rPr>
  </w:style>
  <w:style w:type="paragraph" w:styleId="Ttulo8">
    <w:name w:val="heading 8"/>
    <w:basedOn w:val="Normal"/>
    <w:next w:val="Normal"/>
    <w:link w:val="Ttulo8Car"/>
    <w:uiPriority w:val="9"/>
    <w:semiHidden/>
    <w:unhideWhenUsed/>
    <w:qFormat/>
    <w:rsid w:val="00DE1F93"/>
    <w:pPr>
      <w:keepNext/>
      <w:keepLines/>
      <w:widowControl/>
      <w:tabs>
        <w:tab w:val="num" w:pos="360"/>
      </w:tabs>
      <w:suppressAutoHyphens w:val="0"/>
      <w:autoSpaceDN/>
      <w:spacing w:before="40" w:line="259" w:lineRule="auto"/>
      <w:textAlignment w:val="auto"/>
      <w:outlineLvl w:val="7"/>
    </w:pPr>
    <w:rPr>
      <w:rFonts w:asciiTheme="majorHAnsi" w:eastAsiaTheme="majorEastAsia" w:hAnsiTheme="majorHAnsi" w:cstheme="majorBidi"/>
      <w:color w:val="272727" w:themeColor="text1" w:themeTint="D8"/>
      <w:kern w:val="0"/>
      <w:sz w:val="21"/>
      <w:szCs w:val="21"/>
      <w:lang w:eastAsia="en-US" w:bidi="ar-SA"/>
    </w:rPr>
  </w:style>
  <w:style w:type="paragraph" w:styleId="Ttulo9">
    <w:name w:val="heading 9"/>
    <w:basedOn w:val="Normal"/>
    <w:next w:val="Normal"/>
    <w:link w:val="Ttulo9Car"/>
    <w:uiPriority w:val="9"/>
    <w:semiHidden/>
    <w:unhideWhenUsed/>
    <w:qFormat/>
    <w:rsid w:val="00DE1F93"/>
    <w:pPr>
      <w:keepNext/>
      <w:keepLines/>
      <w:widowControl/>
      <w:tabs>
        <w:tab w:val="num" w:pos="360"/>
      </w:tabs>
      <w:suppressAutoHyphens w:val="0"/>
      <w:autoSpaceDN/>
      <w:spacing w:before="40" w:line="259" w:lineRule="auto"/>
      <w:textAlignment w:val="auto"/>
      <w:outlineLvl w:val="8"/>
    </w:pPr>
    <w:rPr>
      <w:rFonts w:asciiTheme="majorHAnsi" w:eastAsiaTheme="majorEastAsia" w:hAnsiTheme="majorHAnsi" w:cstheme="majorBidi"/>
      <w:i/>
      <w:iCs/>
      <w:color w:val="272727" w:themeColor="text1" w:themeTint="D8"/>
      <w:kern w:val="0"/>
      <w:sz w:val="21"/>
      <w:szCs w:val="21"/>
      <w:lang w:eastAsia="en-US"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uiPriority w:val="99"/>
    <w:rsid w:val="0032620C"/>
    <w:pPr>
      <w:tabs>
        <w:tab w:val="center" w:pos="4419"/>
        <w:tab w:val="right" w:pos="8838"/>
      </w:tabs>
    </w:pPr>
    <w:rPr>
      <w:rFonts w:cs="Mangal"/>
      <w:szCs w:val="21"/>
    </w:rPr>
  </w:style>
  <w:style w:type="character" w:customStyle="1" w:styleId="PiedepginaCar2">
    <w:name w:val="Pie de página Car2"/>
    <w:aliases w:val="pie de página Car1,Car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aliases w:val="h,h8,h9,h10,h18"/>
    <w:basedOn w:val="Normal"/>
    <w:link w:val="EncabezadoCar2"/>
    <w:uiPriority w:val="99"/>
    <w:rsid w:val="0032620C"/>
    <w:pPr>
      <w:tabs>
        <w:tab w:val="center" w:pos="4419"/>
        <w:tab w:val="right" w:pos="8838"/>
      </w:tabs>
    </w:pPr>
    <w:rPr>
      <w:rFonts w:cs="Mangal"/>
      <w:szCs w:val="21"/>
    </w:rPr>
  </w:style>
  <w:style w:type="character" w:customStyle="1" w:styleId="EncabezadoCar2">
    <w:name w:val="Encabezado Car2"/>
    <w:aliases w:val="h Car1,h8 Car1,h9 Car1,h10 Car1,h18 Car1"/>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aliases w:val="h Car,h8 Car,h9 Car,h10 Car,h18 Car"/>
    <w:uiPriority w:val="99"/>
    <w:rsid w:val="0032620C"/>
    <w:rPr>
      <w:rFonts w:cs="Mangal"/>
      <w:sz w:val="21"/>
      <w:szCs w:val="21"/>
    </w:rPr>
  </w:style>
  <w:style w:type="character" w:customStyle="1" w:styleId="PiedepginaCar">
    <w:name w:val="Pie de página Car"/>
    <w:aliases w:val="pie de página Car,Car Car"/>
    <w:uiPriority w:val="99"/>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8"/>
      </w:numPr>
    </w:pPr>
  </w:style>
  <w:style w:type="numbering" w:customStyle="1" w:styleId="WW8Num7">
    <w:name w:val="WW8Num7"/>
    <w:rsid w:val="006B7F73"/>
    <w:pPr>
      <w:numPr>
        <w:numId w:val="9"/>
      </w:numPr>
    </w:pPr>
  </w:style>
  <w:style w:type="numbering" w:customStyle="1" w:styleId="WW8Num3">
    <w:name w:val="WW8Num3"/>
    <w:rsid w:val="006B7F73"/>
    <w:pPr>
      <w:numPr>
        <w:numId w:val="5"/>
      </w:numPr>
    </w:pPr>
  </w:style>
  <w:style w:type="numbering" w:customStyle="1" w:styleId="WW8Num1">
    <w:name w:val="WW8Num1"/>
    <w:rsid w:val="006B7F73"/>
    <w:pPr>
      <w:numPr>
        <w:numId w:val="3"/>
      </w:numPr>
    </w:pPr>
  </w:style>
  <w:style w:type="numbering" w:customStyle="1" w:styleId="WW8Num9">
    <w:name w:val="WW8Num9"/>
    <w:rsid w:val="006B7F73"/>
    <w:pPr>
      <w:numPr>
        <w:numId w:val="11"/>
      </w:numPr>
    </w:pPr>
  </w:style>
  <w:style w:type="numbering" w:customStyle="1" w:styleId="WW8Num10">
    <w:name w:val="WW8Num10"/>
    <w:rsid w:val="006B7F73"/>
    <w:pPr>
      <w:numPr>
        <w:numId w:val="12"/>
      </w:numPr>
    </w:pPr>
  </w:style>
  <w:style w:type="numbering" w:customStyle="1" w:styleId="WW8Num4">
    <w:name w:val="WW8Num4"/>
    <w:rsid w:val="006B7F73"/>
    <w:pPr>
      <w:numPr>
        <w:numId w:val="6"/>
      </w:numPr>
    </w:pPr>
  </w:style>
  <w:style w:type="numbering" w:customStyle="1" w:styleId="WW8Num8">
    <w:name w:val="WW8Num8"/>
    <w:rsid w:val="006B7F73"/>
    <w:pPr>
      <w:numPr>
        <w:numId w:val="10"/>
      </w:numPr>
    </w:pPr>
  </w:style>
  <w:style w:type="numbering" w:customStyle="1" w:styleId="WW8Num14">
    <w:name w:val="WW8Num14"/>
    <w:rsid w:val="006B7F73"/>
    <w:pPr>
      <w:numPr>
        <w:numId w:val="16"/>
      </w:numPr>
    </w:pPr>
  </w:style>
  <w:style w:type="numbering" w:customStyle="1" w:styleId="WW8Num11">
    <w:name w:val="WW8Num11"/>
    <w:rsid w:val="006B7F73"/>
    <w:pPr>
      <w:numPr>
        <w:numId w:val="13"/>
      </w:numPr>
    </w:pPr>
  </w:style>
  <w:style w:type="numbering" w:customStyle="1" w:styleId="WW8Num12">
    <w:name w:val="WW8Num12"/>
    <w:rsid w:val="006B7F73"/>
    <w:pPr>
      <w:numPr>
        <w:numId w:val="14"/>
      </w:numPr>
    </w:pPr>
  </w:style>
  <w:style w:type="numbering" w:customStyle="1" w:styleId="WW8Num13">
    <w:name w:val="WW8Num13"/>
    <w:rsid w:val="006B7F73"/>
    <w:pPr>
      <w:numPr>
        <w:numId w:val="15"/>
      </w:numPr>
    </w:pPr>
  </w:style>
  <w:style w:type="numbering" w:customStyle="1" w:styleId="WW8Num2">
    <w:name w:val="WW8Num2"/>
    <w:rsid w:val="006B7F73"/>
    <w:pPr>
      <w:numPr>
        <w:numId w:val="4"/>
      </w:numPr>
    </w:pPr>
  </w:style>
  <w:style w:type="numbering" w:customStyle="1" w:styleId="WW8Num5">
    <w:name w:val="WW8Num5"/>
    <w:rsid w:val="006B7F73"/>
    <w:pPr>
      <w:numPr>
        <w:numId w:val="7"/>
      </w:numPr>
    </w:pPr>
  </w:style>
  <w:style w:type="character" w:styleId="nfasis">
    <w:name w:val="Emphasis"/>
    <w:uiPriority w:val="20"/>
    <w:qFormat/>
    <w:rsid w:val="00412FA8"/>
    <w:rPr>
      <w:i/>
      <w:iCs/>
    </w:rPr>
  </w:style>
  <w:style w:type="character" w:customStyle="1" w:styleId="Ttulo2Car">
    <w:name w:val="Título 2 Car"/>
    <w:aliases w:val="Capítulos Car"/>
    <w:basedOn w:val="Fuentedeprrafopredeter"/>
    <w:link w:val="Ttulo2"/>
    <w:uiPriority w:val="9"/>
    <w:rsid w:val="00415617"/>
    <w:rPr>
      <w:rFonts w:ascii="Arial" w:hAnsi="Arial"/>
      <w:b/>
      <w:bCs/>
      <w:iCs/>
      <w:sz w:val="24"/>
      <w:szCs w:val="28"/>
      <w:lang w:val="es-ES_tradnl" w:eastAsia="es-ES"/>
    </w:rPr>
  </w:style>
  <w:style w:type="paragraph" w:styleId="Descripcin">
    <w:name w:val="caption"/>
    <w:basedOn w:val="Standard"/>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iPriority w:val="1"/>
    <w:unhideWhenUsed/>
    <w:qFormat/>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uiPriority w:val="1"/>
    <w:rsid w:val="00415617"/>
    <w:rPr>
      <w:rFonts w:ascii="Arial" w:hAnsi="Arial" w:cs="Arial"/>
      <w:sz w:val="24"/>
      <w:szCs w:val="24"/>
      <w:lang w:eastAsia="zh-CN"/>
    </w:rPr>
  </w:style>
  <w:style w:type="paragraph" w:styleId="Prrafodelista">
    <w:name w:val="List Paragraph"/>
    <w:aliases w:val="Fotografía,Bullet List,FooterText,numbered,Paragraphe de liste1,lp1,Scitum normal,HOJA,Bolita,Párrafo de lista4,BOLADEF,Párrafo de lista3,Párrafo de lista21,BOLA,Nivel 1 OS,Colorful List Accent 1,List Paragraph1,Foot,List Paragraph,List"/>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8"/>
      </w:numPr>
    </w:pPr>
  </w:style>
  <w:style w:type="table" w:styleId="Tablaconcuadrcula">
    <w:name w:val="Table Grid"/>
    <w:basedOn w:val="Tablanormal"/>
    <w:uiPriority w:val="3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768D0"/>
    <w:rPr>
      <w:color w:val="000080"/>
      <w:u w:val="single"/>
    </w:rPr>
  </w:style>
  <w:style w:type="character" w:customStyle="1" w:styleId="StandardCar">
    <w:name w:val="Standard Car"/>
    <w:link w:val="Standard"/>
    <w:locked/>
    <w:rsid w:val="006154DE"/>
    <w:rPr>
      <w:kern w:val="3"/>
      <w:lang w:eastAsia="zh-CN"/>
    </w:rPr>
  </w:style>
  <w:style w:type="character" w:customStyle="1" w:styleId="Ttulo3Car">
    <w:name w:val="Título 3 Car"/>
    <w:aliases w:val="Secciones Car"/>
    <w:basedOn w:val="Fuentedeprrafopredeter"/>
    <w:link w:val="Ttulo3"/>
    <w:uiPriority w:val="9"/>
    <w:rsid w:val="00E12C5A"/>
    <w:rPr>
      <w:rFonts w:ascii="Garamond" w:eastAsia="Garamond" w:hAnsi="Garamond" w:cs="Garamond"/>
      <w:b/>
    </w:rPr>
  </w:style>
  <w:style w:type="character" w:customStyle="1" w:styleId="Ttulo4Car">
    <w:name w:val="Título 4 Car"/>
    <w:basedOn w:val="Fuentedeprrafopredeter"/>
    <w:link w:val="Ttulo4"/>
    <w:uiPriority w:val="9"/>
    <w:rsid w:val="00E12C5A"/>
    <w:rPr>
      <w:rFonts w:ascii="Garamond" w:eastAsia="Garamond" w:hAnsi="Garamond" w:cs="Garamond"/>
      <w:b/>
    </w:rPr>
  </w:style>
  <w:style w:type="character" w:customStyle="1" w:styleId="Ttulo5Car">
    <w:name w:val="Título 5 Car"/>
    <w:basedOn w:val="Fuentedeprrafopredeter"/>
    <w:link w:val="Ttulo5"/>
    <w:uiPriority w:val="9"/>
    <w:semiHidden/>
    <w:rsid w:val="00E12C5A"/>
    <w:rPr>
      <w:b/>
      <w:sz w:val="22"/>
      <w:szCs w:val="22"/>
    </w:rPr>
  </w:style>
  <w:style w:type="character" w:customStyle="1" w:styleId="Ttulo6Car">
    <w:name w:val="Título 6 Car"/>
    <w:basedOn w:val="Fuentedeprrafopredeter"/>
    <w:link w:val="Ttulo6"/>
    <w:uiPriority w:val="9"/>
    <w:semiHidden/>
    <w:rsid w:val="00E12C5A"/>
    <w:rPr>
      <w:b/>
    </w:rPr>
  </w:style>
  <w:style w:type="table" w:customStyle="1" w:styleId="TableNormal">
    <w:name w:val="TableNormal"/>
    <w:rsid w:val="00E12C5A"/>
    <w:pPr>
      <w:widowControl w:val="0"/>
      <w:spacing w:before="45" w:line="276" w:lineRule="auto"/>
      <w:ind w:left="258"/>
    </w:pPr>
    <w:rPr>
      <w:rFonts w:ascii="Garamond" w:eastAsia="Garamond" w:hAnsi="Garamond" w:cs="Garamond"/>
    </w:rPr>
    <w:tblPr>
      <w:tblCellMar>
        <w:top w:w="100" w:type="dxa"/>
        <w:left w:w="100" w:type="dxa"/>
        <w:bottom w:w="100" w:type="dxa"/>
        <w:right w:w="100" w:type="dxa"/>
      </w:tblCellMar>
    </w:tblPr>
  </w:style>
  <w:style w:type="paragraph" w:styleId="Ttulo">
    <w:name w:val="Title"/>
    <w:basedOn w:val="Normal"/>
    <w:next w:val="Normal"/>
    <w:link w:val="TtuloCar"/>
    <w:uiPriority w:val="10"/>
    <w:qFormat/>
    <w:rsid w:val="00E12C5A"/>
    <w:pPr>
      <w:widowControl/>
      <w:suppressAutoHyphens w:val="0"/>
      <w:autoSpaceDN/>
      <w:jc w:val="center"/>
      <w:textAlignment w:val="auto"/>
    </w:pPr>
    <w:rPr>
      <w:rFonts w:ascii="Arial" w:eastAsia="Arial" w:hAnsi="Arial" w:cs="Arial"/>
      <w:b/>
      <w:smallCaps/>
      <w:kern w:val="0"/>
      <w:sz w:val="20"/>
      <w:szCs w:val="20"/>
      <w:lang w:eastAsia="es-CO" w:bidi="ar-SA"/>
    </w:rPr>
  </w:style>
  <w:style w:type="character" w:customStyle="1" w:styleId="TtuloCar">
    <w:name w:val="Título Car"/>
    <w:basedOn w:val="Fuentedeprrafopredeter"/>
    <w:link w:val="Ttulo"/>
    <w:uiPriority w:val="10"/>
    <w:rsid w:val="00E12C5A"/>
    <w:rPr>
      <w:rFonts w:ascii="Arial" w:eastAsia="Arial" w:hAnsi="Arial" w:cs="Arial"/>
      <w:b/>
      <w:smallCaps/>
    </w:rPr>
  </w:style>
  <w:style w:type="table" w:customStyle="1" w:styleId="TableNormal0">
    <w:name w:val="Table Normal"/>
    <w:uiPriority w:val="2"/>
    <w:semiHidden/>
    <w:unhideWhenUsed/>
    <w:qFormat/>
    <w:rsid w:val="00E12C5A"/>
    <w:pPr>
      <w:widowControl w:val="0"/>
      <w:spacing w:before="45" w:line="276" w:lineRule="auto"/>
      <w:ind w:left="258"/>
    </w:pPr>
    <w:rPr>
      <w:rFonts w:ascii="Garamond" w:eastAsia="Garamond" w:hAnsi="Garamond" w:cs="Garamond"/>
    </w:rPr>
    <w:tblPr>
      <w:tblInd w:w="0" w:type="dxa"/>
      <w:tblCellMar>
        <w:top w:w="0" w:type="dxa"/>
        <w:left w:w="0" w:type="dxa"/>
        <w:bottom w:w="0" w:type="dxa"/>
        <w:right w:w="0" w:type="dxa"/>
      </w:tblCellMar>
    </w:tblPr>
  </w:style>
  <w:style w:type="paragraph" w:styleId="TDC1">
    <w:name w:val="toc 1"/>
    <w:basedOn w:val="Normal"/>
    <w:uiPriority w:val="39"/>
    <w:qFormat/>
    <w:rsid w:val="00E12C5A"/>
    <w:pPr>
      <w:suppressAutoHyphens w:val="0"/>
      <w:autoSpaceDN/>
      <w:spacing w:before="45" w:line="276" w:lineRule="auto"/>
      <w:ind w:left="258"/>
      <w:textAlignment w:val="auto"/>
    </w:pPr>
    <w:rPr>
      <w:rFonts w:ascii="Garamond" w:eastAsia="Garamond" w:hAnsi="Garamond" w:cs="Garamond"/>
      <w:kern w:val="0"/>
      <w:sz w:val="20"/>
      <w:szCs w:val="20"/>
      <w:lang w:eastAsia="es-CO" w:bidi="ar-SA"/>
    </w:rPr>
  </w:style>
  <w:style w:type="paragraph" w:styleId="TDC2">
    <w:name w:val="toc 2"/>
    <w:basedOn w:val="Normal"/>
    <w:uiPriority w:val="39"/>
    <w:qFormat/>
    <w:rsid w:val="00E12C5A"/>
    <w:pPr>
      <w:suppressAutoHyphens w:val="0"/>
      <w:autoSpaceDN/>
      <w:spacing w:before="45" w:line="325" w:lineRule="exact"/>
      <w:ind w:left="1218" w:hanging="739"/>
      <w:textAlignment w:val="auto"/>
    </w:pPr>
    <w:rPr>
      <w:rFonts w:ascii="Garamond" w:eastAsia="Garamond" w:hAnsi="Garamond" w:cs="Garamond"/>
      <w:kern w:val="0"/>
      <w:sz w:val="20"/>
      <w:szCs w:val="20"/>
      <w:lang w:eastAsia="es-CO" w:bidi="ar-SA"/>
    </w:rPr>
  </w:style>
  <w:style w:type="paragraph" w:styleId="TDC3">
    <w:name w:val="toc 3"/>
    <w:basedOn w:val="Normal"/>
    <w:uiPriority w:val="39"/>
    <w:qFormat/>
    <w:rsid w:val="00E12C5A"/>
    <w:pPr>
      <w:suppressAutoHyphens w:val="0"/>
      <w:autoSpaceDN/>
      <w:spacing w:before="45" w:line="276" w:lineRule="auto"/>
      <w:ind w:left="698" w:hanging="459"/>
      <w:textAlignment w:val="auto"/>
    </w:pPr>
    <w:rPr>
      <w:rFonts w:ascii="Garamond" w:eastAsia="Garamond" w:hAnsi="Garamond" w:cs="Garamond"/>
      <w:kern w:val="0"/>
      <w:sz w:val="20"/>
      <w:szCs w:val="20"/>
      <w:lang w:eastAsia="es-CO" w:bidi="ar-SA"/>
    </w:rPr>
  </w:style>
  <w:style w:type="paragraph" w:customStyle="1" w:styleId="TableParagraph">
    <w:name w:val="Table Paragraph"/>
    <w:basedOn w:val="Normal"/>
    <w:uiPriority w:val="1"/>
    <w:qFormat/>
    <w:rsid w:val="00E12C5A"/>
    <w:pPr>
      <w:suppressAutoHyphens w:val="0"/>
      <w:autoSpaceDN/>
      <w:spacing w:before="45" w:line="276" w:lineRule="auto"/>
      <w:ind w:left="258"/>
      <w:jc w:val="center"/>
      <w:textAlignment w:val="auto"/>
    </w:pPr>
    <w:rPr>
      <w:rFonts w:ascii="Garamond" w:eastAsia="Garamond" w:hAnsi="Garamond" w:cs="Garamond"/>
      <w:kern w:val="0"/>
      <w:sz w:val="20"/>
      <w:szCs w:val="20"/>
      <w:lang w:eastAsia="es-CO" w:bidi="ar-SA"/>
    </w:rPr>
  </w:style>
  <w:style w:type="character" w:styleId="Textodelmarcadordeposicin">
    <w:name w:val="Placeholder Text"/>
    <w:basedOn w:val="Fuentedeprrafopredeter"/>
    <w:uiPriority w:val="99"/>
    <w:semiHidden/>
    <w:rsid w:val="00E12C5A"/>
    <w:rPr>
      <w:color w:val="808080"/>
    </w:rPr>
  </w:style>
  <w:style w:type="character" w:styleId="Mencinsinresolver">
    <w:name w:val="Unresolved Mention"/>
    <w:basedOn w:val="Fuentedeprrafopredeter"/>
    <w:uiPriority w:val="99"/>
    <w:semiHidden/>
    <w:unhideWhenUsed/>
    <w:rsid w:val="00E12C5A"/>
    <w:rPr>
      <w:color w:val="605E5C"/>
      <w:shd w:val="clear" w:color="auto" w:fill="E1DFDD"/>
    </w:rPr>
  </w:style>
  <w:style w:type="numbering" w:customStyle="1" w:styleId="Sinlista1">
    <w:name w:val="Sin lista1"/>
    <w:next w:val="Sinlista"/>
    <w:uiPriority w:val="99"/>
    <w:semiHidden/>
    <w:unhideWhenUsed/>
    <w:rsid w:val="00E12C5A"/>
  </w:style>
  <w:style w:type="table" w:customStyle="1" w:styleId="TableNormal00">
    <w:name w:val="TableNormal0"/>
    <w:rsid w:val="00E12C5A"/>
    <w:pPr>
      <w:widowControl w:val="0"/>
      <w:spacing w:before="45" w:line="276" w:lineRule="auto"/>
      <w:ind w:left="258"/>
    </w:pPr>
    <w:rPr>
      <w:sz w:val="24"/>
      <w:szCs w:val="24"/>
      <w:lang w:eastAsia="es-419"/>
    </w:rPr>
    <w:tblPr>
      <w:tblCellMar>
        <w:top w:w="100" w:type="dxa"/>
        <w:left w:w="100" w:type="dxa"/>
        <w:bottom w:w="100" w:type="dxa"/>
        <w:right w:w="100" w:type="dxa"/>
      </w:tblCellMar>
    </w:tblPr>
  </w:style>
  <w:style w:type="character" w:customStyle="1" w:styleId="HeaderChar">
    <w:name w:val="Header Char"/>
    <w:rsid w:val="00E12C5A"/>
    <w:rPr>
      <w:rFonts w:ascii="Times New Roman" w:hAnsi="Times New Roman" w:cs="Times New Roman"/>
      <w:sz w:val="20"/>
      <w:szCs w:val="20"/>
      <w:lang w:val="es-CO"/>
    </w:rPr>
  </w:style>
  <w:style w:type="character" w:customStyle="1" w:styleId="FooterChar">
    <w:name w:val="Footer Char"/>
    <w:rsid w:val="00E12C5A"/>
    <w:rPr>
      <w:rFonts w:ascii="Times New Roman" w:hAnsi="Times New Roman" w:cs="Times New Roman"/>
      <w:sz w:val="20"/>
      <w:szCs w:val="20"/>
      <w:lang w:val="es-CO"/>
    </w:rPr>
  </w:style>
  <w:style w:type="paragraph" w:customStyle="1" w:styleId="ndice">
    <w:name w:val="Índice"/>
    <w:basedOn w:val="Normal"/>
    <w:rsid w:val="00E12C5A"/>
    <w:pPr>
      <w:widowControl/>
      <w:suppressLineNumbers/>
      <w:suppressAutoHyphens w:val="0"/>
      <w:autoSpaceDN/>
      <w:textAlignment w:val="auto"/>
    </w:pPr>
    <w:rPr>
      <w:rFonts w:eastAsia="Calibri" w:cs="Times New Roman"/>
      <w:kern w:val="0"/>
      <w:sz w:val="20"/>
      <w:szCs w:val="20"/>
      <w:lang w:eastAsia="es-419" w:bidi="ar-SA"/>
    </w:rPr>
  </w:style>
  <w:style w:type="paragraph" w:customStyle="1" w:styleId="Contenidodelatabla">
    <w:name w:val="Contenido de la tabla"/>
    <w:basedOn w:val="Normal"/>
    <w:rsid w:val="00E12C5A"/>
    <w:pPr>
      <w:widowControl/>
      <w:suppressLineNumbers/>
      <w:suppressAutoHyphens w:val="0"/>
      <w:autoSpaceDN/>
      <w:textAlignment w:val="auto"/>
    </w:pPr>
    <w:rPr>
      <w:rFonts w:eastAsia="Calibri" w:cs="Times New Roman"/>
      <w:kern w:val="0"/>
      <w:sz w:val="20"/>
      <w:szCs w:val="20"/>
      <w:lang w:eastAsia="es-419" w:bidi="ar-SA"/>
    </w:rPr>
  </w:style>
  <w:style w:type="paragraph" w:customStyle="1" w:styleId="Encabezadodelatabla">
    <w:name w:val="Encabezado de la tabla"/>
    <w:basedOn w:val="Contenidodelatabla"/>
    <w:rsid w:val="00E12C5A"/>
    <w:pPr>
      <w:jc w:val="center"/>
    </w:pPr>
    <w:rPr>
      <w:b/>
      <w:bCs/>
    </w:rPr>
  </w:style>
  <w:style w:type="character" w:styleId="Hipervnculovisitado">
    <w:name w:val="FollowedHyperlink"/>
    <w:uiPriority w:val="99"/>
    <w:semiHidden/>
    <w:unhideWhenUsed/>
    <w:rsid w:val="00E12C5A"/>
    <w:rPr>
      <w:color w:val="954F72"/>
      <w:u w:val="single"/>
    </w:rPr>
  </w:style>
  <w:style w:type="character" w:customStyle="1" w:styleId="baj">
    <w:name w:val="b_aj"/>
    <w:basedOn w:val="Fuentedeprrafopredeter"/>
    <w:rsid w:val="00E12C5A"/>
  </w:style>
  <w:style w:type="table" w:customStyle="1" w:styleId="Tablaconcuadrculaclara1">
    <w:name w:val="Tabla con cuadrícula clara1"/>
    <w:basedOn w:val="Tablanormal"/>
    <w:next w:val="Tablaconcuadrculaclara"/>
    <w:uiPriority w:val="40"/>
    <w:rsid w:val="00E12C5A"/>
    <w:pPr>
      <w:widowControl w:val="0"/>
      <w:spacing w:before="45" w:line="276" w:lineRule="auto"/>
      <w:ind w:left="258"/>
    </w:pPr>
    <w:rPr>
      <w:sz w:val="24"/>
      <w:szCs w:val="24"/>
      <w:lang w:eastAsia="es-419"/>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clara1">
    <w:name w:val="Tabla con cuadrícula 1 clara1"/>
    <w:basedOn w:val="Tablanormal"/>
    <w:next w:val="Tablaconcuadrcula1clara"/>
    <w:uiPriority w:val="46"/>
    <w:rsid w:val="00E12C5A"/>
    <w:pPr>
      <w:widowControl w:val="0"/>
      <w:spacing w:before="45" w:line="276" w:lineRule="auto"/>
      <w:ind w:left="258"/>
    </w:pPr>
    <w:rPr>
      <w:sz w:val="24"/>
      <w:szCs w:val="24"/>
      <w:lang w:eastAsia="es-419"/>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Mencinsinresolver1">
    <w:name w:val="Mención sin resolver1"/>
    <w:basedOn w:val="Fuentedeprrafopredeter"/>
    <w:uiPriority w:val="99"/>
    <w:unhideWhenUsed/>
    <w:rsid w:val="00E12C5A"/>
    <w:rPr>
      <w:color w:val="605E5C"/>
      <w:shd w:val="clear" w:color="auto" w:fill="E1DFDD"/>
    </w:rPr>
  </w:style>
  <w:style w:type="character" w:customStyle="1" w:styleId="PrrafodelistaCar">
    <w:name w:val="Párrafo de lista Car"/>
    <w:aliases w:val="Fotografía Car,Bullet List Car,FooterText Car,numbered Car,Paragraphe de liste1 Car,lp1 Car,Scitum normal Car,HOJA Car,Bolita Car,Párrafo de lista4 Car,BOLADEF Car,Párrafo de lista3 Car,Párrafo de lista21 Car,BOLA Car,Nivel 1 OS Car"/>
    <w:link w:val="Prrafodelista"/>
    <w:uiPriority w:val="34"/>
    <w:qFormat/>
    <w:rsid w:val="00E12C5A"/>
    <w:rPr>
      <w:rFonts w:ascii="Calibri" w:eastAsia="Calibri" w:hAnsi="Calibri"/>
      <w:sz w:val="22"/>
      <w:szCs w:val="22"/>
      <w:lang w:eastAsia="en-US"/>
    </w:rPr>
  </w:style>
  <w:style w:type="table" w:customStyle="1" w:styleId="Tablaconcuadrcula1">
    <w:name w:val="Tabla con cuadrícula1"/>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C42">
    <w:name w:val="TDC 42"/>
    <w:basedOn w:val="Normal"/>
    <w:next w:val="Normal"/>
    <w:autoRedefine/>
    <w:uiPriority w:val="39"/>
    <w:unhideWhenUsed/>
    <w:rsid w:val="00E12C5A"/>
    <w:pPr>
      <w:widowControl/>
      <w:suppressAutoHyphens w:val="0"/>
      <w:autoSpaceDN/>
      <w:spacing w:line="259" w:lineRule="auto"/>
      <w:ind w:left="600"/>
      <w:textAlignment w:val="auto"/>
    </w:pPr>
    <w:rPr>
      <w:rFonts w:ascii="Calibri" w:eastAsia="Calibri" w:hAnsi="Calibri" w:cs="Calibri"/>
      <w:color w:val="000000"/>
      <w:kern w:val="0"/>
      <w:sz w:val="18"/>
      <w:szCs w:val="18"/>
      <w:lang w:eastAsia="es-CO" w:bidi="ar-SA"/>
    </w:rPr>
  </w:style>
  <w:style w:type="paragraph" w:customStyle="1" w:styleId="TDC52">
    <w:name w:val="TDC 52"/>
    <w:basedOn w:val="Normal"/>
    <w:next w:val="Normal"/>
    <w:autoRedefine/>
    <w:uiPriority w:val="39"/>
    <w:unhideWhenUsed/>
    <w:rsid w:val="00E12C5A"/>
    <w:pPr>
      <w:widowControl/>
      <w:suppressAutoHyphens w:val="0"/>
      <w:autoSpaceDN/>
      <w:spacing w:line="259" w:lineRule="auto"/>
      <w:ind w:left="800"/>
      <w:textAlignment w:val="auto"/>
    </w:pPr>
    <w:rPr>
      <w:rFonts w:ascii="Calibri" w:eastAsia="Calibri" w:hAnsi="Calibri" w:cs="Calibri"/>
      <w:color w:val="000000"/>
      <w:kern w:val="0"/>
      <w:sz w:val="18"/>
      <w:szCs w:val="18"/>
      <w:lang w:eastAsia="es-CO" w:bidi="ar-SA"/>
    </w:rPr>
  </w:style>
  <w:style w:type="paragraph" w:customStyle="1" w:styleId="TDC62">
    <w:name w:val="TDC 62"/>
    <w:basedOn w:val="Normal"/>
    <w:next w:val="Normal"/>
    <w:autoRedefine/>
    <w:uiPriority w:val="39"/>
    <w:unhideWhenUsed/>
    <w:rsid w:val="00E12C5A"/>
    <w:pPr>
      <w:widowControl/>
      <w:suppressAutoHyphens w:val="0"/>
      <w:autoSpaceDN/>
      <w:spacing w:line="259" w:lineRule="auto"/>
      <w:ind w:left="1000"/>
      <w:textAlignment w:val="auto"/>
    </w:pPr>
    <w:rPr>
      <w:rFonts w:ascii="Calibri" w:eastAsia="Calibri" w:hAnsi="Calibri" w:cs="Calibri"/>
      <w:color w:val="000000"/>
      <w:kern w:val="0"/>
      <w:sz w:val="18"/>
      <w:szCs w:val="18"/>
      <w:lang w:eastAsia="es-CO" w:bidi="ar-SA"/>
    </w:rPr>
  </w:style>
  <w:style w:type="paragraph" w:customStyle="1" w:styleId="TDC72">
    <w:name w:val="TDC 72"/>
    <w:basedOn w:val="Normal"/>
    <w:next w:val="Normal"/>
    <w:autoRedefine/>
    <w:uiPriority w:val="39"/>
    <w:unhideWhenUsed/>
    <w:rsid w:val="00E12C5A"/>
    <w:pPr>
      <w:widowControl/>
      <w:suppressAutoHyphens w:val="0"/>
      <w:autoSpaceDN/>
      <w:spacing w:line="259" w:lineRule="auto"/>
      <w:ind w:left="1200"/>
      <w:textAlignment w:val="auto"/>
    </w:pPr>
    <w:rPr>
      <w:rFonts w:ascii="Calibri" w:eastAsia="Calibri" w:hAnsi="Calibri" w:cs="Calibri"/>
      <w:color w:val="000000"/>
      <w:kern w:val="0"/>
      <w:sz w:val="18"/>
      <w:szCs w:val="18"/>
      <w:lang w:eastAsia="es-CO" w:bidi="ar-SA"/>
    </w:rPr>
  </w:style>
  <w:style w:type="paragraph" w:customStyle="1" w:styleId="TDC82">
    <w:name w:val="TDC 82"/>
    <w:basedOn w:val="Normal"/>
    <w:next w:val="Normal"/>
    <w:autoRedefine/>
    <w:uiPriority w:val="39"/>
    <w:unhideWhenUsed/>
    <w:rsid w:val="00E12C5A"/>
    <w:pPr>
      <w:widowControl/>
      <w:suppressAutoHyphens w:val="0"/>
      <w:autoSpaceDN/>
      <w:spacing w:line="259" w:lineRule="auto"/>
      <w:ind w:left="1400"/>
      <w:textAlignment w:val="auto"/>
    </w:pPr>
    <w:rPr>
      <w:rFonts w:ascii="Calibri" w:eastAsia="Calibri" w:hAnsi="Calibri" w:cs="Calibri"/>
      <w:color w:val="000000"/>
      <w:kern w:val="0"/>
      <w:sz w:val="18"/>
      <w:szCs w:val="18"/>
      <w:lang w:eastAsia="es-CO" w:bidi="ar-SA"/>
    </w:rPr>
  </w:style>
  <w:style w:type="paragraph" w:customStyle="1" w:styleId="TDC92">
    <w:name w:val="TDC 92"/>
    <w:basedOn w:val="Normal"/>
    <w:next w:val="Normal"/>
    <w:autoRedefine/>
    <w:uiPriority w:val="39"/>
    <w:unhideWhenUsed/>
    <w:rsid w:val="00E12C5A"/>
    <w:pPr>
      <w:widowControl/>
      <w:suppressAutoHyphens w:val="0"/>
      <w:autoSpaceDN/>
      <w:spacing w:line="259" w:lineRule="auto"/>
      <w:ind w:left="1600"/>
      <w:textAlignment w:val="auto"/>
    </w:pPr>
    <w:rPr>
      <w:rFonts w:ascii="Calibri" w:eastAsia="Calibri" w:hAnsi="Calibri" w:cs="Calibri"/>
      <w:color w:val="000000"/>
      <w:kern w:val="0"/>
      <w:sz w:val="18"/>
      <w:szCs w:val="18"/>
      <w:lang w:eastAsia="es-CO" w:bidi="ar-SA"/>
    </w:rPr>
  </w:style>
  <w:style w:type="paragraph" w:customStyle="1" w:styleId="TtuloTDC1">
    <w:name w:val="Título TDC1"/>
    <w:next w:val="Normal"/>
    <w:uiPriority w:val="39"/>
    <w:unhideWhenUsed/>
    <w:qFormat/>
    <w:rsid w:val="00E12C5A"/>
    <w:pPr>
      <w:keepLines/>
      <w:widowControl w:val="0"/>
      <w:spacing w:before="45" w:line="259" w:lineRule="auto"/>
      <w:ind w:left="360" w:hanging="360"/>
      <w:jc w:val="center"/>
    </w:pPr>
    <w:rPr>
      <w:rFonts w:ascii="Arial" w:hAnsi="Arial"/>
      <w:caps/>
      <w:szCs w:val="32"/>
    </w:rPr>
  </w:style>
  <w:style w:type="character" w:customStyle="1" w:styleId="Mencionar1">
    <w:name w:val="Mencionar1"/>
    <w:basedOn w:val="Fuentedeprrafopredeter"/>
    <w:uiPriority w:val="99"/>
    <w:unhideWhenUsed/>
    <w:rsid w:val="00E12C5A"/>
    <w:rPr>
      <w:color w:val="2B579A"/>
      <w:shd w:val="clear" w:color="auto" w:fill="E1DFDD"/>
    </w:rPr>
  </w:style>
  <w:style w:type="paragraph" w:customStyle="1" w:styleId="Revisin1">
    <w:name w:val="Revisión1"/>
    <w:next w:val="Revisin"/>
    <w:hidden/>
    <w:uiPriority w:val="99"/>
    <w:semiHidden/>
    <w:rsid w:val="00E12C5A"/>
    <w:pPr>
      <w:widowControl w:val="0"/>
      <w:spacing w:before="45" w:line="276" w:lineRule="auto"/>
      <w:ind w:left="258"/>
    </w:pPr>
    <w:rPr>
      <w:rFonts w:ascii="Arial" w:eastAsia="Garamond" w:hAnsi="Arial" w:cs="Garamond"/>
      <w:color w:val="000000"/>
      <w:sz w:val="24"/>
    </w:rPr>
  </w:style>
  <w:style w:type="table" w:customStyle="1" w:styleId="Tablaconcuadrcula62">
    <w:name w:val="Tabla con cuadrícula62"/>
    <w:basedOn w:val="Tablanormal"/>
    <w:next w:val="Tablaconcuadrcula"/>
    <w:uiPriority w:val="39"/>
    <w:rsid w:val="00E12C5A"/>
    <w:pPr>
      <w:widowControl w:val="0"/>
      <w:spacing w:before="45" w:line="276" w:lineRule="auto"/>
      <w:ind w:left="258"/>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ulo9">
    <w:name w:val="Capítulo 9"/>
    <w:basedOn w:val="Normal"/>
    <w:qFormat/>
    <w:rsid w:val="00E12C5A"/>
    <w:pPr>
      <w:widowControl/>
      <w:numPr>
        <w:numId w:val="57"/>
      </w:numPr>
      <w:suppressAutoHyphens w:val="0"/>
      <w:autoSpaceDN/>
      <w:spacing w:after="200" w:line="276" w:lineRule="auto"/>
      <w:ind w:left="602" w:hanging="344"/>
      <w:contextualSpacing/>
      <w:textAlignment w:val="auto"/>
    </w:pPr>
    <w:rPr>
      <w:rFonts w:ascii="Arial" w:eastAsia="Calibri" w:hAnsi="Arial" w:cs="Arial"/>
      <w:b/>
      <w:color w:val="4A442A"/>
      <w:kern w:val="0"/>
      <w:sz w:val="20"/>
      <w:szCs w:val="20"/>
      <w:lang w:eastAsia="es-CO" w:bidi="ar-SA"/>
    </w:rPr>
  </w:style>
  <w:style w:type="table" w:customStyle="1" w:styleId="Tablaconcuadrcula2">
    <w:name w:val="Tabla con cuadrícula2"/>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0">
    <w:name w:val="Normal Table0"/>
    <w:uiPriority w:val="2"/>
    <w:semiHidden/>
    <w:unhideWhenUsed/>
    <w:qFormat/>
    <w:rsid w:val="00E12C5A"/>
    <w:pPr>
      <w:widowControl w:val="0"/>
      <w:spacing w:before="45" w:line="276" w:lineRule="auto"/>
      <w:ind w:left="258"/>
    </w:pPr>
    <w:rPr>
      <w:rFonts w:ascii="Garamond" w:eastAsia="Garamond" w:hAnsi="Garamond" w:cs="Garamond"/>
    </w:rPr>
    <w:tblPr>
      <w:tblInd w:w="0" w:type="dxa"/>
      <w:tblCellMar>
        <w:top w:w="0" w:type="dxa"/>
        <w:left w:w="0" w:type="dxa"/>
        <w:bottom w:w="0" w:type="dxa"/>
        <w:right w:w="0" w:type="dxa"/>
      </w:tblCellMar>
    </w:tblPr>
  </w:style>
  <w:style w:type="character" w:customStyle="1" w:styleId="SubttuloCar">
    <w:name w:val="Subtítulo Car"/>
    <w:basedOn w:val="Fuentedeprrafopredeter"/>
    <w:uiPriority w:val="11"/>
    <w:rsid w:val="00E12C5A"/>
    <w:rPr>
      <w:rFonts w:ascii="Georgia" w:eastAsia="Georgia" w:hAnsi="Georgia" w:cs="Georgia"/>
      <w:i/>
      <w:color w:val="666666"/>
      <w:sz w:val="48"/>
      <w:szCs w:val="48"/>
      <w:lang w:val="es-CO" w:eastAsia="es-419"/>
    </w:rPr>
  </w:style>
  <w:style w:type="table" w:styleId="Tablaconcuadrculaclara">
    <w:name w:val="Grid Table Light"/>
    <w:basedOn w:val="Tablanormal"/>
    <w:uiPriority w:val="40"/>
    <w:rsid w:val="00E12C5A"/>
    <w:pPr>
      <w:widowControl w:val="0"/>
      <w:spacing w:before="45" w:line="276" w:lineRule="auto"/>
      <w:ind w:left="258"/>
    </w:pPr>
    <w:rPr>
      <w:rFonts w:ascii="Garamond" w:eastAsia="Garamond" w:hAnsi="Garamond" w:cs="Garamon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concuadrcula1clara">
    <w:name w:val="Grid Table 1 Light"/>
    <w:basedOn w:val="Tablanormal"/>
    <w:uiPriority w:val="46"/>
    <w:rsid w:val="00E12C5A"/>
    <w:pPr>
      <w:widowControl w:val="0"/>
      <w:spacing w:before="45" w:line="276" w:lineRule="auto"/>
      <w:ind w:left="258"/>
    </w:pPr>
    <w:rPr>
      <w:rFonts w:ascii="Garamond" w:eastAsia="Garamond" w:hAnsi="Garamond" w:cs="Garamond"/>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n">
    <w:name w:val="Revision"/>
    <w:hidden/>
    <w:uiPriority w:val="99"/>
    <w:semiHidden/>
    <w:rsid w:val="00E12C5A"/>
    <w:pPr>
      <w:spacing w:before="45" w:line="276" w:lineRule="auto"/>
      <w:ind w:left="258"/>
    </w:pPr>
    <w:rPr>
      <w:rFonts w:ascii="Garamond" w:eastAsia="Garamond" w:hAnsi="Garamond" w:cs="Garamond"/>
      <w:bCs/>
      <w:lang w:val="es-ES"/>
    </w:rPr>
  </w:style>
  <w:style w:type="paragraph" w:styleId="Subttulo">
    <w:name w:val="Subtitle"/>
    <w:basedOn w:val="Normal"/>
    <w:next w:val="Normal"/>
    <w:link w:val="SubttuloCar1"/>
    <w:uiPriority w:val="11"/>
    <w:qFormat/>
    <w:rsid w:val="00E12C5A"/>
    <w:pPr>
      <w:keepNext/>
      <w:keepLines/>
      <w:suppressAutoHyphens w:val="0"/>
      <w:autoSpaceDN/>
      <w:spacing w:before="360" w:after="80"/>
      <w:textAlignment w:val="auto"/>
    </w:pPr>
    <w:rPr>
      <w:rFonts w:ascii="Georgia" w:eastAsia="Georgia" w:hAnsi="Georgia" w:cs="Georgia"/>
      <w:i/>
      <w:color w:val="666666"/>
      <w:kern w:val="0"/>
      <w:sz w:val="48"/>
      <w:szCs w:val="48"/>
      <w:lang w:eastAsia="es-CO" w:bidi="ar-SA"/>
    </w:rPr>
  </w:style>
  <w:style w:type="character" w:customStyle="1" w:styleId="SubttuloCar1">
    <w:name w:val="Subtítulo Car1"/>
    <w:basedOn w:val="Fuentedeprrafopredeter"/>
    <w:link w:val="Subttulo"/>
    <w:uiPriority w:val="11"/>
    <w:rsid w:val="00E12C5A"/>
    <w:rPr>
      <w:rFonts w:ascii="Georgia" w:eastAsia="Georgia" w:hAnsi="Georgia" w:cs="Georgia"/>
      <w:i/>
      <w:color w:val="666666"/>
      <w:sz w:val="48"/>
      <w:szCs w:val="48"/>
    </w:rPr>
  </w:style>
  <w:style w:type="character" w:customStyle="1" w:styleId="Ttulo7Car">
    <w:name w:val="Título 7 Car"/>
    <w:basedOn w:val="Fuentedeprrafopredeter"/>
    <w:link w:val="Ttulo7"/>
    <w:uiPriority w:val="9"/>
    <w:semiHidden/>
    <w:rsid w:val="00DE1F93"/>
    <w:rPr>
      <w:rFonts w:asciiTheme="majorHAnsi" w:eastAsiaTheme="majorEastAsia" w:hAnsiTheme="majorHAnsi" w:cstheme="majorBidi"/>
      <w:i/>
      <w:iCs/>
      <w:color w:val="243F60" w:themeColor="accent1" w:themeShade="7F"/>
      <w:szCs w:val="22"/>
      <w:lang w:eastAsia="en-US"/>
    </w:rPr>
  </w:style>
  <w:style w:type="character" w:customStyle="1" w:styleId="Ttulo8Car">
    <w:name w:val="Título 8 Car"/>
    <w:basedOn w:val="Fuentedeprrafopredeter"/>
    <w:link w:val="Ttulo8"/>
    <w:uiPriority w:val="9"/>
    <w:semiHidden/>
    <w:rsid w:val="00DE1F93"/>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semiHidden/>
    <w:rsid w:val="00DE1F93"/>
    <w:rPr>
      <w:rFonts w:asciiTheme="majorHAnsi" w:eastAsiaTheme="majorEastAsia" w:hAnsiTheme="majorHAnsi" w:cstheme="majorBidi"/>
      <w:i/>
      <w:iCs/>
      <w:color w:val="272727" w:themeColor="text1" w:themeTint="D8"/>
      <w:sz w:val="21"/>
      <w:szCs w:val="21"/>
      <w:lang w:eastAsia="en-US"/>
    </w:rPr>
  </w:style>
  <w:style w:type="paragraph" w:customStyle="1" w:styleId="InviasNormal">
    <w:name w:val="Invias Normal"/>
    <w:basedOn w:val="Normal"/>
    <w:link w:val="InviasNormalCar"/>
    <w:qFormat/>
    <w:rsid w:val="00DE1F93"/>
    <w:pPr>
      <w:widowControl/>
      <w:tabs>
        <w:tab w:val="left" w:pos="-142"/>
      </w:tabs>
      <w:suppressAutoHyphens w:val="0"/>
      <w:autoSpaceDE w:val="0"/>
      <w:adjustRightInd w:val="0"/>
      <w:spacing w:before="120" w:after="240"/>
      <w:jc w:val="both"/>
      <w:textAlignment w:val="auto"/>
    </w:pPr>
    <w:rPr>
      <w:rFonts w:ascii="Arial Narrow" w:hAnsi="Arial Narrow" w:cs="Times New Roman"/>
      <w:color w:val="4A442A" w:themeColor="background2" w:themeShade="40"/>
      <w:kern w:val="0"/>
      <w:lang w:val="x-none" w:eastAsia="es-ES" w:bidi="ar-SA"/>
    </w:rPr>
  </w:style>
  <w:style w:type="character" w:customStyle="1" w:styleId="InviasNormalCar">
    <w:name w:val="Invias Normal Car"/>
    <w:link w:val="InviasNormal"/>
    <w:locked/>
    <w:rsid w:val="00DE1F93"/>
    <w:rPr>
      <w:rFonts w:ascii="Arial Narrow" w:hAnsi="Arial Narrow"/>
      <w:color w:val="4A442A" w:themeColor="background2" w:themeShade="40"/>
      <w:sz w:val="24"/>
      <w:szCs w:val="24"/>
      <w:lang w:val="x-none" w:eastAsia="es-ES"/>
    </w:rPr>
  </w:style>
  <w:style w:type="paragraph" w:customStyle="1" w:styleId="Entidad-Capitulo">
    <w:name w:val="Entidad-Capitulo"/>
    <w:next w:val="Normal"/>
    <w:autoRedefine/>
    <w:uiPriority w:val="99"/>
    <w:qFormat/>
    <w:rsid w:val="00DE1F93"/>
    <w:pPr>
      <w:keepNext/>
      <w:spacing w:before="240" w:after="240"/>
      <w:jc w:val="center"/>
      <w:outlineLvl w:val="0"/>
    </w:pPr>
    <w:rPr>
      <w:rFonts w:ascii="Verdana" w:hAnsi="Verdana" w:cs="Arial"/>
      <w:b/>
      <w:smallCaps/>
      <w:sz w:val="24"/>
      <w:szCs w:val="24"/>
      <w:lang w:eastAsia="es-ES"/>
    </w:rPr>
  </w:style>
  <w:style w:type="paragraph" w:customStyle="1" w:styleId="Literales">
    <w:name w:val="Literales"/>
    <w:basedOn w:val="CaptulosTtulo2"/>
    <w:next w:val="Normal"/>
    <w:autoRedefine/>
    <w:uiPriority w:val="99"/>
    <w:qFormat/>
    <w:rsid w:val="00DE1F93"/>
    <w:pPr>
      <w:keepNext/>
      <w:numPr>
        <w:numId w:val="82"/>
      </w:numPr>
      <w:spacing w:before="120" w:after="200" w:line="276" w:lineRule="auto"/>
      <w:ind w:left="697" w:hanging="340"/>
      <w:outlineLvl w:val="1"/>
    </w:pPr>
    <w:rPr>
      <w:rFonts w:eastAsia="Times New Roman" w:cs="Arial"/>
      <w:b/>
      <w:color w:val="000000"/>
      <w:szCs w:val="20"/>
      <w:lang w:eastAsia="es-CO"/>
    </w:rPr>
  </w:style>
  <w:style w:type="numbering" w:customStyle="1" w:styleId="Estilo1">
    <w:name w:val="Estilo1"/>
    <w:uiPriority w:val="99"/>
    <w:rsid w:val="00DE1F93"/>
    <w:pPr>
      <w:numPr>
        <w:numId w:val="76"/>
      </w:numPr>
    </w:pPr>
  </w:style>
  <w:style w:type="paragraph" w:customStyle="1" w:styleId="CaptulosTtulo2">
    <w:name w:val="Capítulos  (Título 2)"/>
    <w:basedOn w:val="Normal"/>
    <w:rsid w:val="00DE1F93"/>
    <w:pPr>
      <w:widowControl/>
      <w:suppressAutoHyphens w:val="0"/>
      <w:autoSpaceDN/>
      <w:spacing w:after="160" w:line="259" w:lineRule="auto"/>
      <w:textAlignment w:val="auto"/>
    </w:pPr>
    <w:rPr>
      <w:rFonts w:ascii="Arial" w:eastAsiaTheme="minorHAnsi" w:hAnsi="Arial" w:cstheme="minorBidi"/>
      <w:color w:val="4A442A" w:themeColor="background2" w:themeShade="40"/>
      <w:kern w:val="0"/>
      <w:sz w:val="20"/>
      <w:szCs w:val="22"/>
      <w:lang w:eastAsia="en-US" w:bidi="ar-SA"/>
    </w:rPr>
  </w:style>
  <w:style w:type="paragraph" w:customStyle="1" w:styleId="SeccionesTtulo3">
    <w:name w:val="Secciones  (Título 3)"/>
    <w:basedOn w:val="Normal"/>
    <w:rsid w:val="00DE1F93"/>
    <w:pPr>
      <w:widowControl/>
      <w:suppressAutoHyphens w:val="0"/>
      <w:autoSpaceDN/>
      <w:spacing w:after="160" w:line="259" w:lineRule="auto"/>
      <w:textAlignment w:val="auto"/>
    </w:pPr>
    <w:rPr>
      <w:rFonts w:ascii="Arial" w:eastAsiaTheme="minorHAnsi" w:hAnsi="Arial" w:cstheme="minorBidi"/>
      <w:color w:val="4A442A" w:themeColor="background2" w:themeShade="40"/>
      <w:kern w:val="0"/>
      <w:sz w:val="20"/>
      <w:szCs w:val="22"/>
      <w:lang w:eastAsia="en-US" w:bidi="ar-SA"/>
    </w:rPr>
  </w:style>
  <w:style w:type="paragraph" w:customStyle="1" w:styleId="Invias-VietaAlfabetica">
    <w:name w:val="Invias-Viñeta Alfabetica"/>
    <w:next w:val="Normal"/>
    <w:uiPriority w:val="99"/>
    <w:qFormat/>
    <w:rsid w:val="00DE1F93"/>
    <w:pPr>
      <w:numPr>
        <w:numId w:val="77"/>
      </w:numPr>
      <w:spacing w:before="240" w:after="240"/>
      <w:jc w:val="both"/>
    </w:pPr>
    <w:rPr>
      <w:rFonts w:ascii="Arial Narrow" w:hAnsi="Arial Narrow"/>
      <w:sz w:val="24"/>
      <w:szCs w:val="24"/>
      <w:lang w:eastAsia="es-ES"/>
    </w:rPr>
  </w:style>
  <w:style w:type="paragraph" w:customStyle="1" w:styleId="Invias-VietaNumerada">
    <w:name w:val="Invias-Viñeta Numerada"/>
    <w:next w:val="Normal"/>
    <w:link w:val="Invias-VietaNumeradaCar"/>
    <w:uiPriority w:val="99"/>
    <w:qFormat/>
    <w:rsid w:val="00DE1F93"/>
    <w:pPr>
      <w:spacing w:before="240" w:after="120"/>
      <w:jc w:val="both"/>
    </w:pPr>
    <w:rPr>
      <w:rFonts w:ascii="Arial Narrow" w:hAnsi="Arial Narrow"/>
      <w:sz w:val="24"/>
      <w:szCs w:val="24"/>
      <w:lang w:val="en-US" w:eastAsia="es-ES"/>
    </w:rPr>
  </w:style>
  <w:style w:type="character" w:customStyle="1" w:styleId="Invias-VietaNumeradaCar">
    <w:name w:val="Invias-Viñeta Numerada Car"/>
    <w:link w:val="Invias-VietaNumerada"/>
    <w:uiPriority w:val="99"/>
    <w:locked/>
    <w:rsid w:val="00DE1F93"/>
    <w:rPr>
      <w:rFonts w:ascii="Arial Narrow" w:hAnsi="Arial Narrow"/>
      <w:sz w:val="24"/>
      <w:szCs w:val="24"/>
      <w:lang w:val="en-US" w:eastAsia="es-ES"/>
    </w:rPr>
  </w:style>
  <w:style w:type="paragraph" w:styleId="TtuloTDC">
    <w:name w:val="TOC Heading"/>
    <w:basedOn w:val="Ttulo1"/>
    <w:next w:val="Normal"/>
    <w:uiPriority w:val="39"/>
    <w:unhideWhenUsed/>
    <w:qFormat/>
    <w:rsid w:val="00DE1F93"/>
    <w:pPr>
      <w:keepLines/>
      <w:suppressAutoHyphens w:val="0"/>
      <w:autoSpaceDN/>
      <w:spacing w:after="0" w:line="259" w:lineRule="auto"/>
      <w:ind w:left="432" w:hanging="432"/>
      <w:textAlignment w:val="auto"/>
      <w:outlineLvl w:val="9"/>
    </w:pPr>
    <w:rPr>
      <w:rFonts w:asciiTheme="majorHAnsi" w:eastAsiaTheme="majorEastAsia" w:hAnsiTheme="majorHAnsi" w:cstheme="majorBidi"/>
      <w:b w:val="0"/>
      <w:bCs w:val="0"/>
      <w:color w:val="365F91" w:themeColor="accent1" w:themeShade="BF"/>
      <w:kern w:val="0"/>
      <w:sz w:val="32"/>
      <w:szCs w:val="32"/>
      <w:lang w:eastAsia="es-CO"/>
    </w:rPr>
  </w:style>
  <w:style w:type="paragraph" w:styleId="Textonotapie">
    <w:name w:val="footnote text"/>
    <w:aliases w:val="Footnote Text Char Char Char Char Char,Footnote Text Char Char Char Char,Footnote reference,FA Fu,texto de nota al pie,Footnote Text Char Char Char,Footnote Text Char Char Char Char Char Char Char Char,Footnote Text Cha"/>
    <w:basedOn w:val="Normal"/>
    <w:link w:val="TextonotapieCar"/>
    <w:uiPriority w:val="99"/>
    <w:rsid w:val="00DE1F93"/>
    <w:pPr>
      <w:widowControl/>
      <w:suppressAutoHyphens w:val="0"/>
      <w:autoSpaceDN/>
      <w:textAlignment w:val="auto"/>
    </w:pPr>
    <w:rPr>
      <w:rFonts w:cs="Times New Roman"/>
      <w:kern w:val="0"/>
      <w:sz w:val="20"/>
      <w:szCs w:val="20"/>
      <w:lang w:val="es-ES" w:eastAsia="es-ES" w:bidi="ar-SA"/>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ootnote Text Char Char Char Char Char Char Char Char Car"/>
    <w:basedOn w:val="Fuentedeprrafopredeter"/>
    <w:link w:val="Textonotapie"/>
    <w:uiPriority w:val="99"/>
    <w:rsid w:val="00DE1F93"/>
    <w:rPr>
      <w:lang w:val="es-ES" w:eastAsia="es-ES"/>
    </w:rPr>
  </w:style>
  <w:style w:type="character" w:customStyle="1" w:styleId="spelle">
    <w:name w:val="spelle"/>
    <w:basedOn w:val="Fuentedeprrafopredeter"/>
    <w:rsid w:val="00DE1F93"/>
  </w:style>
  <w:style w:type="character" w:customStyle="1" w:styleId="SinespaciadoCar">
    <w:name w:val="Sin espaciado Car"/>
    <w:link w:val="Sinespaciado"/>
    <w:uiPriority w:val="1"/>
    <w:locked/>
    <w:rsid w:val="00DE1F93"/>
    <w:rPr>
      <w:rFonts w:ascii="Calibri" w:eastAsia="Calibri" w:hAnsi="Calibri"/>
      <w:lang w:val="es-ES" w:eastAsia="es-ES"/>
    </w:rPr>
  </w:style>
  <w:style w:type="paragraph" w:styleId="Sinespaciado">
    <w:name w:val="No Spacing"/>
    <w:link w:val="SinespaciadoCar"/>
    <w:uiPriority w:val="1"/>
    <w:qFormat/>
    <w:rsid w:val="00DE1F93"/>
    <w:rPr>
      <w:rFonts w:ascii="Calibri" w:eastAsia="Calibri" w:hAnsi="Calibri"/>
      <w:lang w:val="es-ES" w:eastAsia="es-ES"/>
    </w:rPr>
  </w:style>
  <w:style w:type="paragraph" w:customStyle="1" w:styleId="Capitulo3">
    <w:name w:val="Capitulo 3"/>
    <w:basedOn w:val="Literales"/>
    <w:qFormat/>
    <w:rsid w:val="00DE1F93"/>
    <w:pPr>
      <w:numPr>
        <w:numId w:val="80"/>
      </w:numPr>
    </w:pPr>
  </w:style>
  <w:style w:type="paragraph" w:customStyle="1" w:styleId="Capitulo1">
    <w:name w:val="Capitulo 1"/>
    <w:basedOn w:val="Literales"/>
    <w:qFormat/>
    <w:rsid w:val="00DE1F93"/>
    <w:pPr>
      <w:numPr>
        <w:numId w:val="81"/>
      </w:numPr>
    </w:pPr>
  </w:style>
  <w:style w:type="paragraph" w:customStyle="1" w:styleId="Capitulo2">
    <w:name w:val="Capitulo 2"/>
    <w:basedOn w:val="Literales"/>
    <w:autoRedefine/>
    <w:qFormat/>
    <w:rsid w:val="00DE1F93"/>
    <w:pPr>
      <w:numPr>
        <w:numId w:val="0"/>
      </w:numPr>
      <w:jc w:val="both"/>
    </w:pPr>
    <w:rPr>
      <w:bCs/>
      <w:color w:val="000000" w:themeColor="text1"/>
      <w:lang w:val="es-MX"/>
    </w:rPr>
  </w:style>
  <w:style w:type="paragraph" w:customStyle="1" w:styleId="Captulo4">
    <w:name w:val="Capítulo 4"/>
    <w:basedOn w:val="Normal"/>
    <w:autoRedefine/>
    <w:qFormat/>
    <w:rsid w:val="00DE1F93"/>
    <w:pPr>
      <w:widowControl/>
      <w:suppressAutoHyphens w:val="0"/>
      <w:autoSpaceDN/>
      <w:spacing w:after="200" w:line="276" w:lineRule="auto"/>
      <w:contextualSpacing/>
      <w:textAlignment w:val="auto"/>
      <w:outlineLvl w:val="1"/>
    </w:pPr>
    <w:rPr>
      <w:rFonts w:ascii="Arial" w:hAnsi="Arial" w:cs="Arial"/>
      <w:b/>
      <w:bCs/>
      <w:kern w:val="0"/>
      <w:sz w:val="20"/>
      <w:szCs w:val="20"/>
      <w:lang w:eastAsia="es-CO" w:bidi="ar-SA"/>
    </w:rPr>
  </w:style>
  <w:style w:type="paragraph" w:customStyle="1" w:styleId="Captulo7">
    <w:name w:val="Capítulo 7"/>
    <w:basedOn w:val="Prrafodelista"/>
    <w:qFormat/>
    <w:rsid w:val="00DE1F93"/>
    <w:pPr>
      <w:numPr>
        <w:numId w:val="78"/>
      </w:numPr>
      <w:spacing w:line="276" w:lineRule="auto"/>
      <w:jc w:val="left"/>
    </w:pPr>
    <w:rPr>
      <w:rFonts w:ascii="Arial" w:hAnsi="Arial" w:cs="Arial"/>
      <w:b/>
      <w:bCs/>
      <w:color w:val="1C1C1C"/>
      <w:sz w:val="20"/>
      <w:szCs w:val="20"/>
    </w:rPr>
  </w:style>
  <w:style w:type="paragraph" w:customStyle="1" w:styleId="Captulo5">
    <w:name w:val="Capítulo 5"/>
    <w:basedOn w:val="Prrafodelista"/>
    <w:qFormat/>
    <w:rsid w:val="00DE1F93"/>
    <w:pPr>
      <w:numPr>
        <w:numId w:val="79"/>
      </w:numPr>
      <w:spacing w:line="276" w:lineRule="auto"/>
      <w:ind w:left="964" w:hanging="680"/>
      <w:jc w:val="left"/>
    </w:pPr>
    <w:rPr>
      <w:rFonts w:ascii="Arial" w:hAnsi="Arial" w:cs="Arial"/>
      <w:b/>
      <w:bCs/>
      <w:color w:val="1C1C1C"/>
      <w:sz w:val="20"/>
      <w:szCs w:val="20"/>
    </w:rPr>
  </w:style>
  <w:style w:type="paragraph" w:customStyle="1" w:styleId="Captulo8">
    <w:name w:val="Capítulo 8"/>
    <w:basedOn w:val="Captulo7"/>
    <w:qFormat/>
    <w:rsid w:val="00DE1F93"/>
    <w:pPr>
      <w:numPr>
        <w:numId w:val="85"/>
      </w:numPr>
    </w:pPr>
    <w:rPr>
      <w:color w:val="4A442A" w:themeColor="background2" w:themeShade="40"/>
    </w:rPr>
  </w:style>
  <w:style w:type="paragraph" w:customStyle="1" w:styleId="Invias-Titulo1">
    <w:name w:val="Invias-Titulo 1"/>
    <w:next w:val="Normal"/>
    <w:autoRedefine/>
    <w:uiPriority w:val="99"/>
    <w:qFormat/>
    <w:rsid w:val="00DE1F93"/>
    <w:pPr>
      <w:keepNext/>
      <w:spacing w:before="120" w:after="240"/>
      <w:ind w:left="708"/>
      <w:jc w:val="both"/>
      <w:outlineLvl w:val="1"/>
    </w:pPr>
    <w:rPr>
      <w:rFonts w:ascii="Arial Narrow" w:hAnsi="Arial Narrow" w:cs="Arial"/>
      <w:b/>
      <w:sz w:val="24"/>
      <w:szCs w:val="24"/>
    </w:rPr>
  </w:style>
  <w:style w:type="character" w:customStyle="1" w:styleId="Mencinsinresolver2">
    <w:name w:val="Mención sin resolver2"/>
    <w:basedOn w:val="Fuentedeprrafopredeter"/>
    <w:uiPriority w:val="99"/>
    <w:semiHidden/>
    <w:unhideWhenUsed/>
    <w:rsid w:val="00DE1F93"/>
    <w:rPr>
      <w:color w:val="808080"/>
      <w:shd w:val="clear" w:color="auto" w:fill="E6E6E6"/>
    </w:rPr>
  </w:style>
  <w:style w:type="character" w:customStyle="1" w:styleId="Mencinsinresolver3">
    <w:name w:val="Mención sin resolver3"/>
    <w:basedOn w:val="Fuentedeprrafopredeter"/>
    <w:uiPriority w:val="99"/>
    <w:semiHidden/>
    <w:unhideWhenUsed/>
    <w:rsid w:val="00DE1F93"/>
    <w:rPr>
      <w:color w:val="808080"/>
      <w:shd w:val="clear" w:color="auto" w:fill="E6E6E6"/>
    </w:rPr>
  </w:style>
  <w:style w:type="character" w:customStyle="1" w:styleId="Mencinsinresolver30">
    <w:name w:val="Mención sin resolver30"/>
    <w:basedOn w:val="Fuentedeprrafopredeter"/>
    <w:uiPriority w:val="99"/>
    <w:semiHidden/>
    <w:unhideWhenUsed/>
    <w:rsid w:val="00DE1F93"/>
    <w:rPr>
      <w:color w:val="808080"/>
      <w:shd w:val="clear" w:color="auto" w:fill="E6E6E6"/>
    </w:rPr>
  </w:style>
  <w:style w:type="paragraph" w:customStyle="1" w:styleId="clusulas">
    <w:name w:val="cláusulas"/>
    <w:basedOn w:val="Normal"/>
    <w:qFormat/>
    <w:rsid w:val="00DE1F93"/>
    <w:pPr>
      <w:widowControl/>
      <w:numPr>
        <w:numId w:val="86"/>
      </w:numPr>
      <w:suppressAutoHyphens w:val="0"/>
      <w:autoSpaceDN/>
      <w:spacing w:before="120" w:after="120"/>
      <w:jc w:val="both"/>
      <w:textAlignment w:val="auto"/>
    </w:pPr>
    <w:rPr>
      <w:rFonts w:asciiTheme="minorHAnsi" w:eastAsiaTheme="minorHAnsi" w:hAnsiTheme="minorHAnsi" w:cstheme="minorBidi"/>
      <w:b/>
      <w:kern w:val="0"/>
      <w:sz w:val="20"/>
      <w:szCs w:val="22"/>
      <w:lang w:eastAsia="en-US" w:bidi="ar-SA"/>
    </w:rPr>
  </w:style>
  <w:style w:type="paragraph" w:customStyle="1" w:styleId="Capitulo8">
    <w:name w:val="Capitulo 8"/>
    <w:basedOn w:val="Captulo7"/>
    <w:qFormat/>
    <w:rsid w:val="00DE1F93"/>
    <w:pPr>
      <w:numPr>
        <w:numId w:val="87"/>
      </w:numPr>
      <w:jc w:val="both"/>
    </w:pPr>
  </w:style>
  <w:style w:type="paragraph" w:customStyle="1" w:styleId="m-423956075009029384invias-capitulo">
    <w:name w:val="m_-423956075009029384invias-capitulo"/>
    <w:basedOn w:val="Normal"/>
    <w:rsid w:val="00DE1F93"/>
    <w:pPr>
      <w:widowControl/>
      <w:suppressAutoHyphens w:val="0"/>
      <w:autoSpaceDN/>
      <w:spacing w:before="100" w:beforeAutospacing="1" w:after="100" w:afterAutospacing="1"/>
      <w:textAlignment w:val="auto"/>
    </w:pPr>
    <w:rPr>
      <w:rFonts w:eastAsiaTheme="minorHAnsi" w:cs="Times New Roman"/>
      <w:kern w:val="0"/>
      <w:lang w:eastAsia="es-CO" w:bidi="ar-SA"/>
    </w:rPr>
  </w:style>
  <w:style w:type="paragraph" w:customStyle="1" w:styleId="m-423956075009029384invias-titulo1">
    <w:name w:val="m_-423956075009029384invias-titulo1"/>
    <w:basedOn w:val="Normal"/>
    <w:rsid w:val="00DE1F93"/>
    <w:pPr>
      <w:widowControl/>
      <w:suppressAutoHyphens w:val="0"/>
      <w:autoSpaceDN/>
      <w:spacing w:before="100" w:beforeAutospacing="1" w:after="100" w:afterAutospacing="1"/>
      <w:textAlignment w:val="auto"/>
    </w:pPr>
    <w:rPr>
      <w:rFonts w:eastAsiaTheme="minorHAnsi" w:cs="Times New Roman"/>
      <w:kern w:val="0"/>
      <w:lang w:eastAsia="es-CO" w:bidi="ar-SA"/>
    </w:rPr>
  </w:style>
  <w:style w:type="character" w:customStyle="1" w:styleId="Mencinsinresolver300">
    <w:name w:val="Mención sin resolver300"/>
    <w:basedOn w:val="Fuentedeprrafopredeter"/>
    <w:uiPriority w:val="99"/>
    <w:semiHidden/>
    <w:unhideWhenUsed/>
    <w:rsid w:val="00DE1F93"/>
    <w:rPr>
      <w:color w:val="808080"/>
      <w:shd w:val="clear" w:color="auto" w:fill="E6E6E6"/>
    </w:rPr>
  </w:style>
  <w:style w:type="character" w:customStyle="1" w:styleId="Mencinsinresolver3000">
    <w:name w:val="Mención sin resolver3000"/>
    <w:basedOn w:val="Fuentedeprrafopredeter"/>
    <w:uiPriority w:val="99"/>
    <w:semiHidden/>
    <w:unhideWhenUsed/>
    <w:rsid w:val="00DE1F93"/>
    <w:rPr>
      <w:color w:val="808080"/>
      <w:shd w:val="clear" w:color="auto" w:fill="E6E6E6"/>
    </w:rPr>
  </w:style>
  <w:style w:type="character" w:customStyle="1" w:styleId="Mencinsinresolver30000">
    <w:name w:val="Mención sin resolver30000"/>
    <w:basedOn w:val="Fuentedeprrafopredeter"/>
    <w:uiPriority w:val="99"/>
    <w:semiHidden/>
    <w:unhideWhenUsed/>
    <w:rsid w:val="00DE1F93"/>
    <w:rPr>
      <w:color w:val="808080"/>
      <w:shd w:val="clear" w:color="auto" w:fill="E6E6E6"/>
    </w:rPr>
  </w:style>
  <w:style w:type="paragraph" w:styleId="TDC4">
    <w:name w:val="toc 4"/>
    <w:basedOn w:val="Normal"/>
    <w:next w:val="Normal"/>
    <w:autoRedefine/>
    <w:uiPriority w:val="39"/>
    <w:unhideWhenUsed/>
    <w:rsid w:val="00DE1F93"/>
    <w:pPr>
      <w:widowControl/>
      <w:suppressAutoHyphens w:val="0"/>
      <w:autoSpaceDN/>
      <w:spacing w:after="100" w:line="259" w:lineRule="auto"/>
      <w:ind w:left="660"/>
      <w:textAlignment w:val="auto"/>
    </w:pPr>
    <w:rPr>
      <w:rFonts w:asciiTheme="minorHAnsi" w:eastAsiaTheme="minorEastAsia" w:hAnsiTheme="minorHAnsi" w:cstheme="minorBidi"/>
      <w:kern w:val="0"/>
      <w:sz w:val="22"/>
      <w:szCs w:val="22"/>
      <w:lang w:eastAsia="es-CO" w:bidi="ar-SA"/>
    </w:rPr>
  </w:style>
  <w:style w:type="paragraph" w:styleId="TDC5">
    <w:name w:val="toc 5"/>
    <w:basedOn w:val="Normal"/>
    <w:next w:val="Normal"/>
    <w:autoRedefine/>
    <w:uiPriority w:val="39"/>
    <w:unhideWhenUsed/>
    <w:rsid w:val="00DE1F93"/>
    <w:pPr>
      <w:widowControl/>
      <w:suppressAutoHyphens w:val="0"/>
      <w:autoSpaceDN/>
      <w:spacing w:after="100" w:line="259" w:lineRule="auto"/>
      <w:ind w:left="880"/>
      <w:textAlignment w:val="auto"/>
    </w:pPr>
    <w:rPr>
      <w:rFonts w:asciiTheme="minorHAnsi" w:eastAsiaTheme="minorEastAsia" w:hAnsiTheme="minorHAnsi" w:cstheme="minorBidi"/>
      <w:kern w:val="0"/>
      <w:sz w:val="22"/>
      <w:szCs w:val="22"/>
      <w:lang w:eastAsia="es-CO" w:bidi="ar-SA"/>
    </w:rPr>
  </w:style>
  <w:style w:type="paragraph" w:styleId="TDC6">
    <w:name w:val="toc 6"/>
    <w:basedOn w:val="Normal"/>
    <w:next w:val="Normal"/>
    <w:autoRedefine/>
    <w:uiPriority w:val="39"/>
    <w:unhideWhenUsed/>
    <w:rsid w:val="00DE1F93"/>
    <w:pPr>
      <w:widowControl/>
      <w:suppressAutoHyphens w:val="0"/>
      <w:autoSpaceDN/>
      <w:spacing w:after="100" w:line="259" w:lineRule="auto"/>
      <w:ind w:left="1100"/>
      <w:textAlignment w:val="auto"/>
    </w:pPr>
    <w:rPr>
      <w:rFonts w:asciiTheme="minorHAnsi" w:eastAsiaTheme="minorEastAsia" w:hAnsiTheme="minorHAnsi" w:cstheme="minorBidi"/>
      <w:kern w:val="0"/>
      <w:sz w:val="22"/>
      <w:szCs w:val="22"/>
      <w:lang w:eastAsia="es-CO" w:bidi="ar-SA"/>
    </w:rPr>
  </w:style>
  <w:style w:type="paragraph" w:styleId="TDC7">
    <w:name w:val="toc 7"/>
    <w:basedOn w:val="Normal"/>
    <w:next w:val="Normal"/>
    <w:autoRedefine/>
    <w:uiPriority w:val="39"/>
    <w:unhideWhenUsed/>
    <w:rsid w:val="00DE1F93"/>
    <w:pPr>
      <w:widowControl/>
      <w:suppressAutoHyphens w:val="0"/>
      <w:autoSpaceDN/>
      <w:spacing w:after="100" w:line="259" w:lineRule="auto"/>
      <w:ind w:left="1320"/>
      <w:textAlignment w:val="auto"/>
    </w:pPr>
    <w:rPr>
      <w:rFonts w:asciiTheme="minorHAnsi" w:eastAsiaTheme="minorEastAsia" w:hAnsiTheme="minorHAnsi" w:cstheme="minorBidi"/>
      <w:kern w:val="0"/>
      <w:sz w:val="22"/>
      <w:szCs w:val="22"/>
      <w:lang w:eastAsia="es-CO" w:bidi="ar-SA"/>
    </w:rPr>
  </w:style>
  <w:style w:type="paragraph" w:styleId="TDC8">
    <w:name w:val="toc 8"/>
    <w:basedOn w:val="Normal"/>
    <w:next w:val="Normal"/>
    <w:autoRedefine/>
    <w:uiPriority w:val="39"/>
    <w:unhideWhenUsed/>
    <w:rsid w:val="00DE1F93"/>
    <w:pPr>
      <w:widowControl/>
      <w:suppressAutoHyphens w:val="0"/>
      <w:autoSpaceDN/>
      <w:spacing w:after="100" w:line="259" w:lineRule="auto"/>
      <w:ind w:left="1540"/>
      <w:textAlignment w:val="auto"/>
    </w:pPr>
    <w:rPr>
      <w:rFonts w:asciiTheme="minorHAnsi" w:eastAsiaTheme="minorEastAsia" w:hAnsiTheme="minorHAnsi" w:cstheme="minorBidi"/>
      <w:kern w:val="0"/>
      <w:sz w:val="22"/>
      <w:szCs w:val="22"/>
      <w:lang w:eastAsia="es-CO" w:bidi="ar-SA"/>
    </w:rPr>
  </w:style>
  <w:style w:type="paragraph" w:styleId="TDC9">
    <w:name w:val="toc 9"/>
    <w:basedOn w:val="Normal"/>
    <w:next w:val="Normal"/>
    <w:autoRedefine/>
    <w:uiPriority w:val="39"/>
    <w:unhideWhenUsed/>
    <w:rsid w:val="00DE1F93"/>
    <w:pPr>
      <w:widowControl/>
      <w:suppressAutoHyphens w:val="0"/>
      <w:autoSpaceDN/>
      <w:spacing w:after="100" w:line="259" w:lineRule="auto"/>
      <w:ind w:left="1760"/>
      <w:textAlignment w:val="auto"/>
    </w:pPr>
    <w:rPr>
      <w:rFonts w:asciiTheme="minorHAnsi" w:eastAsiaTheme="minorEastAsia" w:hAnsiTheme="minorHAnsi" w:cstheme="minorBidi"/>
      <w:kern w:val="0"/>
      <w:sz w:val="22"/>
      <w:szCs w:val="22"/>
      <w:lang w:eastAsia="es-CO" w:bidi="ar-SA"/>
    </w:rPr>
  </w:style>
  <w:style w:type="table" w:customStyle="1" w:styleId="Cuadrculadetablaclara1">
    <w:name w:val="Cuadrícula de tabla clara1"/>
    <w:basedOn w:val="Tablanormal"/>
    <w:next w:val="Tablaconcuadrculaclara"/>
    <w:uiPriority w:val="99"/>
    <w:rsid w:val="00DE1F93"/>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Mencionar">
    <w:name w:val="Mention"/>
    <w:basedOn w:val="Fuentedeprrafopredeter"/>
    <w:uiPriority w:val="99"/>
    <w:unhideWhenUsed/>
    <w:rsid w:val="00DE1F93"/>
    <w:rPr>
      <w:color w:val="2B579A"/>
      <w:shd w:val="clear" w:color="auto" w:fill="E1DFDD"/>
    </w:rPr>
  </w:style>
  <w:style w:type="table" w:customStyle="1" w:styleId="Tablaconcuadrcula10">
    <w:name w:val="Tabla con cuadrícula10"/>
    <w:basedOn w:val="Tablanormal"/>
    <w:next w:val="Tablaconcuadrcula"/>
    <w:uiPriority w:val="59"/>
    <w:rsid w:val="00DE1F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DE1F9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Fuentedeprrafopredeter"/>
    <w:rsid w:val="00DE1F93"/>
  </w:style>
  <w:style w:type="character" w:customStyle="1" w:styleId="normaltextrun">
    <w:name w:val="normaltextrun"/>
    <w:basedOn w:val="Fuentedeprrafopredeter"/>
    <w:rsid w:val="00DE1F93"/>
  </w:style>
  <w:style w:type="character" w:customStyle="1" w:styleId="apple-converted-space">
    <w:name w:val="apple-converted-space"/>
    <w:basedOn w:val="Fuentedeprrafopredeter"/>
    <w:rsid w:val="00DE1F93"/>
  </w:style>
  <w:style w:type="paragraph" w:customStyle="1" w:styleId="paragraph">
    <w:name w:val="paragraph"/>
    <w:basedOn w:val="Normal"/>
    <w:rsid w:val="00DE1F93"/>
    <w:pPr>
      <w:widowControl/>
      <w:suppressAutoHyphens w:val="0"/>
      <w:autoSpaceDN/>
      <w:spacing w:before="100" w:beforeAutospacing="1" w:after="100" w:afterAutospacing="1"/>
      <w:textAlignment w:val="auto"/>
    </w:pPr>
    <w:rPr>
      <w:rFonts w:cs="Times New Roman"/>
      <w:kern w:val="0"/>
      <w:lang w:eastAsia="es-CO"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97970">
      <w:bodyDiv w:val="1"/>
      <w:marLeft w:val="0"/>
      <w:marRight w:val="0"/>
      <w:marTop w:val="0"/>
      <w:marBottom w:val="0"/>
      <w:divBdr>
        <w:top w:val="none" w:sz="0" w:space="0" w:color="auto"/>
        <w:left w:val="none" w:sz="0" w:space="0" w:color="auto"/>
        <w:bottom w:val="none" w:sz="0" w:space="0" w:color="auto"/>
        <w:right w:val="none" w:sz="0" w:space="0" w:color="auto"/>
      </w:divBdr>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29710249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893090">
      <w:bodyDiv w:val="1"/>
      <w:marLeft w:val="0"/>
      <w:marRight w:val="0"/>
      <w:marTop w:val="0"/>
      <w:marBottom w:val="0"/>
      <w:divBdr>
        <w:top w:val="none" w:sz="0" w:space="0" w:color="auto"/>
        <w:left w:val="none" w:sz="0" w:space="0" w:color="auto"/>
        <w:bottom w:val="none" w:sz="0" w:space="0" w:color="auto"/>
        <w:right w:val="none" w:sz="0" w:space="0" w:color="auto"/>
      </w:divBdr>
    </w:div>
    <w:div w:id="1385910830">
      <w:bodyDiv w:val="1"/>
      <w:marLeft w:val="0"/>
      <w:marRight w:val="0"/>
      <w:marTop w:val="0"/>
      <w:marBottom w:val="0"/>
      <w:divBdr>
        <w:top w:val="none" w:sz="0" w:space="0" w:color="auto"/>
        <w:left w:val="none" w:sz="0" w:space="0" w:color="auto"/>
        <w:bottom w:val="none" w:sz="0" w:space="0" w:color="auto"/>
        <w:right w:val="none" w:sz="0" w:space="0" w:color="auto"/>
      </w:divBdr>
    </w:div>
    <w:div w:id="1612779830">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hyperlink" Target="mailto:correspondencia@veeduriadistrital.gov.co"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webSettings" Target="webSettings.xml"/><Relationship Id="rId12" Type="http://schemas.openxmlformats.org/officeDocument/2006/relationships/image" Target="media/image2.jpg"/><Relationship Id="rId17" Type="http://schemas.openxmlformats.org/officeDocument/2006/relationships/hyperlink" Target="https://snies.mineducacion.gov.co/consultasnies/programa%23"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snies.mineducacion.gov.co/consultasnies/programa%23"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snies.mineducacion.gov.co/consultasnies/programa%23" TargetMode="External"/><Relationship Id="rId23" Type="http://schemas.openxmlformats.org/officeDocument/2006/relationships/header" Target="header1.xml"/><Relationship Id="rId10" Type="http://schemas.openxmlformats.org/officeDocument/2006/relationships/hyperlink" Target="http://www.secretariasenado.gov.co/senado/basedoc/decreto_1421_1993_pr001.html" TargetMode="External"/><Relationship Id="rId19" Type="http://schemas.openxmlformats.org/officeDocument/2006/relationships/hyperlink" Target="mailto:denuncie@veeduriadistrital.gov.co"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rvpsi.policia.gov.co/PSC/frm_cnp_consulta.aspx" TargetMode="External"/><Relationship Id="rId22"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2.xml><?xml version="1.0" encoding="utf-8"?>
<ds:datastoreItem xmlns:ds="http://schemas.openxmlformats.org/officeDocument/2006/customXml" ds:itemID="{4BD1E13F-C3B4-411E-A588-383320ED2775}"/>
</file>

<file path=customXml/itemProps3.xml><?xml version="1.0" encoding="utf-8"?>
<ds:datastoreItem xmlns:ds="http://schemas.openxmlformats.org/officeDocument/2006/customXml" ds:itemID="{2783F2E3-A901-412C-B992-CA6667B259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100</Pages>
  <Words>37477</Words>
  <Characters>206126</Characters>
  <Application>Microsoft Office Word</Application>
  <DocSecurity>0</DocSecurity>
  <Lines>1717</Lines>
  <Paragraphs>486</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243117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Diego C</cp:lastModifiedBy>
  <cp:revision>8</cp:revision>
  <cp:lastPrinted>2017-02-09T21:34:00Z</cp:lastPrinted>
  <dcterms:created xsi:type="dcterms:W3CDTF">2025-12-03T02:59:00Z</dcterms:created>
  <dcterms:modified xsi:type="dcterms:W3CDTF">2025-12-12T02:57:00Z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0x010100473C7E2468C50B48980CE7C97C035E3E</vt:lpwstr>
  </property>
</Properties>
</file>